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0D37B366" w:rsidR="00500034" w:rsidRDefault="00EC5452" w:rsidP="00F72B6B">
                            <w:pPr>
                              <w:pStyle w:val="Heading1"/>
                            </w:pPr>
                            <w:r w:rsidRPr="00EC5452">
                              <w:t>Rural Multi-Hazard Infrastructure Planning for Evacuation Safety and Economic Resilience</w:t>
                            </w:r>
                          </w:p>
                          <w:p w14:paraId="7261024F" w14:textId="26F44DE1" w:rsidR="00C86335" w:rsidRPr="0044020A" w:rsidRDefault="00C86335" w:rsidP="00FC35C9">
                            <w:pPr>
                              <w:spacing w:before="60" w:after="60"/>
                              <w:rPr>
                                <w:rFonts w:ascii="Arial" w:hAnsi="Arial" w:cs="Arial"/>
                              </w:rPr>
                            </w:pPr>
                            <w:r w:rsidRPr="0044020A">
                              <w:rPr>
                                <w:rFonts w:ascii="Arial" w:hAnsi="Arial" w:cs="Arial"/>
                                <w:i/>
                                <w:iCs/>
                                <w:szCs w:val="18"/>
                              </w:rPr>
                              <w:t>CTIPS-</w:t>
                            </w:r>
                            <w:r w:rsidR="00EC5452">
                              <w:rPr>
                                <w:rFonts w:ascii="Arial" w:hAnsi="Arial" w:cs="Arial"/>
                                <w:i/>
                                <w:iCs/>
                                <w:szCs w:val="18"/>
                              </w:rPr>
                              <w:t>057</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0D37B366" w:rsidR="00500034" w:rsidRDefault="00EC5452" w:rsidP="00F72B6B">
                      <w:pPr>
                        <w:pStyle w:val="Heading1"/>
                      </w:pPr>
                      <w:r w:rsidRPr="00EC5452">
                        <w:t>Rural Multi-Hazard Infrastructure Planning for Evacuation Safety and Economic Resilience</w:t>
                      </w:r>
                    </w:p>
                    <w:p w14:paraId="7261024F" w14:textId="26F44DE1" w:rsidR="00C86335" w:rsidRPr="0044020A" w:rsidRDefault="00C86335" w:rsidP="00FC35C9">
                      <w:pPr>
                        <w:spacing w:before="60" w:after="60"/>
                        <w:rPr>
                          <w:rFonts w:ascii="Arial" w:hAnsi="Arial" w:cs="Arial"/>
                        </w:rPr>
                      </w:pPr>
                      <w:r w:rsidRPr="0044020A">
                        <w:rPr>
                          <w:rFonts w:ascii="Arial" w:hAnsi="Arial" w:cs="Arial"/>
                          <w:i/>
                          <w:iCs/>
                          <w:szCs w:val="18"/>
                        </w:rPr>
                        <w:t>CTIPS-</w:t>
                      </w:r>
                      <w:r w:rsidR="00EC5452">
                        <w:rPr>
                          <w:rFonts w:ascii="Arial" w:hAnsi="Arial" w:cs="Arial"/>
                          <w:i/>
                          <w:iCs/>
                          <w:szCs w:val="18"/>
                        </w:rPr>
                        <w:t>057</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012AA831"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EC5452">
              <w:rPr>
                <w:rFonts w:eastAsia="Calibri" w:cs="Times New Roman"/>
                <w:szCs w:val="22"/>
              </w:rPr>
              <w:t>,</w:t>
            </w:r>
            <w:r w:rsidR="00EC5452">
              <w:t xml:space="preserve"> </w:t>
            </w:r>
            <w:r w:rsidR="00EC5452" w:rsidRPr="00EC5452">
              <w:rPr>
                <w:rFonts w:eastAsia="Calibri" w:cs="Times New Roman"/>
                <w:szCs w:val="22"/>
              </w:rPr>
              <w:t>Utah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0BB19223" w:rsidR="00A14FAE" w:rsidRPr="007E7ECF" w:rsidRDefault="00314AC9" w:rsidP="00500034">
            <w:pPr>
              <w:spacing w:after="120"/>
              <w:rPr>
                <w:rFonts w:eastAsia="Calibri" w:cs="Times New Roman"/>
                <w:szCs w:val="22"/>
              </w:rPr>
            </w:pPr>
            <w:r w:rsidRPr="00314AC9">
              <w:rPr>
                <w:rFonts w:eastAsia="Calibri" w:cs="Times New Roman"/>
                <w:szCs w:val="22"/>
              </w:rPr>
              <w:t>Sarah A. Grajdura, Ph.D.</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7769E874"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314AC9">
              <w:rPr>
                <w:rFonts w:eastAsia="Calibri" w:cs="Times New Roman"/>
                <w:szCs w:val="22"/>
              </w:rPr>
              <w:t>105,000</w:t>
            </w:r>
          </w:p>
          <w:p w14:paraId="430619BA" w14:textId="45346D12" w:rsidR="00500034" w:rsidRPr="007E7ECF" w:rsidRDefault="00314AC9" w:rsidP="00500034">
            <w:pPr>
              <w:spacing w:after="120"/>
              <w:rPr>
                <w:rFonts w:eastAsia="Calibri" w:cs="Times New Roman"/>
                <w:szCs w:val="22"/>
              </w:rPr>
            </w:pPr>
            <w:r w:rsidRPr="00314AC9">
              <w:rPr>
                <w:rFonts w:cs="Times New Roman"/>
                <w:szCs w:val="22"/>
              </w:rPr>
              <w:t>Utah Local Technical Assistance Program</w:t>
            </w:r>
            <w:r w:rsidRPr="007E7ECF">
              <w:rPr>
                <w:rFonts w:eastAsia="Calibri" w:cs="Times New Roman"/>
                <w:szCs w:val="22"/>
              </w:rPr>
              <w:t xml:space="preserve"> – $</w:t>
            </w:r>
            <w:r>
              <w:rPr>
                <w:rFonts w:eastAsia="Calibri" w:cs="Times New Roman"/>
                <w:szCs w:val="22"/>
              </w:rPr>
              <w:t>105,000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4C0F687A" w:rsidR="00500034" w:rsidRPr="007E7ECF" w:rsidRDefault="00500034" w:rsidP="00500034">
            <w:pPr>
              <w:spacing w:after="120"/>
              <w:rPr>
                <w:rFonts w:eastAsia="Calibri" w:cs="Times New Roman"/>
                <w:szCs w:val="22"/>
              </w:rPr>
            </w:pPr>
            <w:r w:rsidRPr="007E7ECF">
              <w:rPr>
                <w:rFonts w:eastAsia="Calibri" w:cs="Times New Roman"/>
                <w:szCs w:val="22"/>
              </w:rPr>
              <w:t>$</w:t>
            </w:r>
            <w:r w:rsidR="00314AC9">
              <w:rPr>
                <w:rFonts w:eastAsia="Calibri" w:cs="Times New Roman"/>
                <w:szCs w:val="22"/>
              </w:rPr>
              <w:t>210,000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5558CE31" w:rsidR="00500034" w:rsidRPr="007E7ECF" w:rsidRDefault="00314AC9" w:rsidP="00500034">
            <w:pPr>
              <w:spacing w:after="120"/>
              <w:rPr>
                <w:rFonts w:eastAsia="Calibri" w:cs="Times New Roman"/>
                <w:szCs w:val="22"/>
              </w:rPr>
            </w:pPr>
            <w:r>
              <w:rPr>
                <w:rFonts w:eastAsia="Calibri" w:cs="Times New Roman"/>
                <w:szCs w:val="22"/>
              </w:rPr>
              <w:t>11/17/2025 to 11/16/2027</w:t>
            </w:r>
          </w:p>
        </w:tc>
      </w:tr>
    </w:tbl>
    <w:p w14:paraId="712C50E7" w14:textId="6803A518" w:rsidR="002873B2" w:rsidRPr="00506C16" w:rsidRDefault="002873B2" w:rsidP="00506C16">
      <w:pPr>
        <w:pStyle w:val="Heading2"/>
      </w:pPr>
      <w:r w:rsidRPr="00506C16">
        <w:t>Project Description</w:t>
      </w:r>
    </w:p>
    <w:p w14:paraId="01CCBFFB" w14:textId="77777777" w:rsidR="002455F3" w:rsidRPr="002455F3" w:rsidRDefault="002455F3" w:rsidP="002455F3">
      <w:pPr>
        <w:spacing w:after="120"/>
        <w:rPr>
          <w:rFonts w:eastAsia="Calibri"/>
          <w:szCs w:val="18"/>
        </w:rPr>
      </w:pPr>
      <w:r w:rsidRPr="002455F3">
        <w:rPr>
          <w:rFonts w:eastAsia="Calibri"/>
          <w:szCs w:val="18"/>
        </w:rPr>
        <w:t>Wildfires increasingly threaten communities in the wildland-urban interface (WUI), where development meets flammable vegetation. As the WUI expands, disaster risk grows more complex—wildfires often trigger or are intensified by other hazards, including earthquakes and severe weather. These compounding risks are particularly challenging in rural areas, where infrastructure is limited, evacuation routes are sparse, and small businesses play a central role in community resilience.</w:t>
      </w:r>
    </w:p>
    <w:p w14:paraId="26EDB875" w14:textId="77777777" w:rsidR="002455F3" w:rsidRPr="002455F3" w:rsidRDefault="002455F3" w:rsidP="002455F3">
      <w:pPr>
        <w:spacing w:after="120"/>
        <w:rPr>
          <w:rFonts w:eastAsia="Calibri"/>
          <w:szCs w:val="18"/>
        </w:rPr>
      </w:pPr>
      <w:r w:rsidRPr="002455F3">
        <w:rPr>
          <w:rFonts w:eastAsia="Calibri"/>
          <w:szCs w:val="18"/>
        </w:rPr>
        <w:t xml:space="preserve">This project addresses two key gaps: (1) rural wildfire evacuation under multi-hazard conditions and (2) business continuity for small enterprises in WUI regions. First, a Community Advisory Board (CAB) will guide the research, ensuring it reflects local knowledge and priorities. Second, we will develop a </w:t>
      </w:r>
      <w:proofErr w:type="spellStart"/>
      <w:r w:rsidRPr="002455F3">
        <w:rPr>
          <w:rFonts w:eastAsia="Calibri"/>
          <w:szCs w:val="18"/>
        </w:rPr>
        <w:t>GeoAI</w:t>
      </w:r>
      <w:proofErr w:type="spellEnd"/>
      <w:r w:rsidRPr="002455F3">
        <w:rPr>
          <w:rFonts w:eastAsia="Calibri"/>
          <w:szCs w:val="18"/>
        </w:rPr>
        <w:t>-driven, agent-based model to simulate evacuations under wildfire, earthquake, and weather scenarios, using environmental, transportation, and demographic data. Third, we will build a business continuity model that predicts how rural businesses recover from wildfire disruptions, incorporating infrastructure damage, supply chain challenges, and community displacement.</w:t>
      </w:r>
    </w:p>
    <w:p w14:paraId="1CE8545F" w14:textId="08CA23CC" w:rsidR="003E096D" w:rsidRPr="00002E38" w:rsidRDefault="002455F3" w:rsidP="002455F3">
      <w:pPr>
        <w:spacing w:after="240"/>
        <w:rPr>
          <w:rFonts w:eastAsia="Calibri"/>
          <w:szCs w:val="18"/>
        </w:rPr>
      </w:pPr>
      <w:r w:rsidRPr="002455F3">
        <w:rPr>
          <w:rFonts w:eastAsia="Calibri"/>
          <w:szCs w:val="18"/>
        </w:rPr>
        <w:t>Findings will inform land use planning, evacuation design, and recovery strategies tailored to rural needs. This work supports future disaster response and strengthens long-term resilience for communities facing growing multi-hazard risks.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lastRenderedPageBreak/>
        <w:t>Outputs</w:t>
      </w:r>
    </w:p>
    <w:p w14:paraId="381761C5" w14:textId="77777777" w:rsidR="0045276E" w:rsidRPr="0045276E" w:rsidRDefault="0045276E" w:rsidP="0045276E">
      <w:pPr>
        <w:spacing w:after="120"/>
        <w:rPr>
          <w:rFonts w:eastAsia="Calibri" w:cs="Times New Roman"/>
          <w:szCs w:val="22"/>
        </w:rPr>
      </w:pPr>
      <w:r w:rsidRPr="0045276E">
        <w:rPr>
          <w:rFonts w:eastAsia="Calibri" w:cs="Times New Roman"/>
          <w:szCs w:val="22"/>
        </w:rPr>
        <w:t>The results of this research project will be shared with researchers, professionals, community members, and practitioners through multiple channels. The researchers will maintain relationships with the community advisory board, routinely sharing findings and updates. We will share a policy brief aimed at community members, along with the final report.</w:t>
      </w:r>
    </w:p>
    <w:p w14:paraId="21634872" w14:textId="740E8ADF" w:rsidR="003F6023" w:rsidRPr="003F6023" w:rsidRDefault="0045276E" w:rsidP="0045276E">
      <w:pPr>
        <w:spacing w:after="240"/>
        <w:rPr>
          <w:rFonts w:eastAsia="Calibri" w:cs="Times New Roman"/>
          <w:szCs w:val="22"/>
        </w:rPr>
      </w:pPr>
      <w:r w:rsidRPr="0045276E">
        <w:rPr>
          <w:rFonts w:eastAsia="Calibri" w:cs="Times New Roman"/>
          <w:szCs w:val="22"/>
        </w:rPr>
        <w:t>Additional findings will be presented at local, national, and international conferences, including events hosted by the Transportation Research Board, Utah Department of Transportation, Utah Division of Emergency Management, Institute of Transportation Engineers, Natural Hazards Center, and the Association of Collegiate Schools of Planning. Alongside the final project report, we plan to prepare and submit three manuscripts for publication in journals focused on transportation and emergency planning. The final report will also be distributed to transportation personnel at state and local agencies and made available online. Additionally, we will host a CTIPS webinar to present the key outcomes of the project and seek opportunities to share our findings via other virtual and in-person opportunities. All data will be de-identified and made publicly available through the NSF National Hazards Engineering Research Infrastructure Data (NHERI) Depot. Data analysis scripts will be shared via github.com.</w:t>
      </w:r>
    </w:p>
    <w:p w14:paraId="22C67A86" w14:textId="77777777" w:rsidR="000B7B9F" w:rsidRDefault="002873B2" w:rsidP="000B7B9F">
      <w:pPr>
        <w:pStyle w:val="Heading2"/>
      </w:pPr>
      <w:r w:rsidRPr="00CE0EC0">
        <w:t>Outcomes/Impacts</w:t>
      </w:r>
    </w:p>
    <w:p w14:paraId="3CF834EA" w14:textId="77777777" w:rsidR="00E9249B" w:rsidRPr="00E9249B" w:rsidRDefault="00E9249B" w:rsidP="00E9249B">
      <w:pPr>
        <w:spacing w:after="120"/>
        <w:rPr>
          <w:rFonts w:cs="Times New Roman"/>
          <w:szCs w:val="22"/>
        </w:rPr>
      </w:pPr>
      <w:r w:rsidRPr="00E9249B">
        <w:rPr>
          <w:rFonts w:cs="Times New Roman"/>
          <w:szCs w:val="22"/>
        </w:rPr>
        <w:t>This research study is expected to generate innovative tools and community-informed frameworks that significantly enhance rural multi-hazard disaster preparedness and recovery planning. One of the most impactful outcomes will be the integration of community voices through the formation of a Community Advisory Board (CAB), leading to evacuation and business continuity plans that are locally grounded, culturally relevant, and practically feasible. The CAB model itself is anticipated to serve as a replicable best practice for stakeholder engagement in rural infrastructure planning, with potential to influence regional and state-level emergency preparedness guidelines.</w:t>
      </w:r>
    </w:p>
    <w:p w14:paraId="1912B932" w14:textId="77777777" w:rsidR="00E9249B" w:rsidRPr="00E9249B" w:rsidRDefault="00E9249B" w:rsidP="00E9249B">
      <w:pPr>
        <w:spacing w:after="120"/>
        <w:rPr>
          <w:rFonts w:cs="Times New Roman"/>
          <w:szCs w:val="22"/>
        </w:rPr>
      </w:pPr>
      <w:r w:rsidRPr="00E9249B">
        <w:rPr>
          <w:rFonts w:cs="Times New Roman"/>
          <w:szCs w:val="22"/>
        </w:rPr>
        <w:t xml:space="preserve">Key technical deliverables will include two </w:t>
      </w:r>
      <w:proofErr w:type="spellStart"/>
      <w:r w:rsidRPr="00E9249B">
        <w:rPr>
          <w:rFonts w:cs="Times New Roman"/>
          <w:szCs w:val="22"/>
        </w:rPr>
        <w:t>GeoAI</w:t>
      </w:r>
      <w:proofErr w:type="spellEnd"/>
      <w:r w:rsidRPr="00E9249B">
        <w:rPr>
          <w:rFonts w:cs="Times New Roman"/>
          <w:szCs w:val="22"/>
        </w:rPr>
        <w:t xml:space="preserve">-driven agent-based simulation models: one for rural multi-hazard evacuation and another for business continuity recovery. These models represent major advancements in rural transportation and economic resilience modeling, offering detailed scenario simulations that account for hazard-specific challenges, local infrastructure limitations, demographic factors, and behavioral responses. These tools will be accessible through the NHERI </w:t>
      </w:r>
      <w:proofErr w:type="spellStart"/>
      <w:r w:rsidRPr="00E9249B">
        <w:rPr>
          <w:rFonts w:cs="Times New Roman"/>
          <w:szCs w:val="22"/>
        </w:rPr>
        <w:t>DesignSafe</w:t>
      </w:r>
      <w:proofErr w:type="spellEnd"/>
      <w:r w:rsidRPr="00E9249B">
        <w:rPr>
          <w:rFonts w:cs="Times New Roman"/>
          <w:szCs w:val="22"/>
        </w:rPr>
        <w:t xml:space="preserve"> Data Depot, supporting broader research and planning applications across the U.S.</w:t>
      </w:r>
    </w:p>
    <w:p w14:paraId="5E511BDB" w14:textId="7E5771E0" w:rsidR="00F137CC" w:rsidRPr="00E72DE1" w:rsidRDefault="00E9249B" w:rsidP="00E9249B">
      <w:pPr>
        <w:spacing w:after="240"/>
        <w:rPr>
          <w:rFonts w:cs="Times New Roman"/>
          <w:szCs w:val="22"/>
        </w:rPr>
      </w:pPr>
      <w:r w:rsidRPr="00E9249B">
        <w:rPr>
          <w:rFonts w:cs="Times New Roman"/>
          <w:szCs w:val="22"/>
        </w:rPr>
        <w:t>The practical impacts of this research are substantial. The evacuation model will enhance rural transportation system safety, helping to identify evacuation bottlenecks and optimize routing under wildfire, seismic, and extreme weather conditions. The business continuity model will support more durable and reliable recovery strategies by forecasting which businesses are most at risk and identifying infrastructure investments that can improve long-term economic resilience. These models and the accompanying policy brief are expected to inform local emergency management practices, guide infrastructure investment decisions, and potentially shape new regulatory standards for rural disaster preparedness.</w:t>
      </w:r>
    </w:p>
    <w:p w14:paraId="2E4A52BC" w14:textId="0DBF2BA7" w:rsidR="000B7B9F" w:rsidRDefault="002873B2" w:rsidP="002B213B">
      <w:pPr>
        <w:pStyle w:val="Heading2"/>
      </w:pPr>
      <w:r>
        <w:t>Final Report</w:t>
      </w:r>
    </w:p>
    <w:p w14:paraId="79FA5744" w14:textId="446AB1B4"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58CE" w14:textId="77777777" w:rsidR="00AC40CF" w:rsidRDefault="00AC40CF" w:rsidP="00F137CC">
      <w:r>
        <w:separator/>
      </w:r>
    </w:p>
  </w:endnote>
  <w:endnote w:type="continuationSeparator" w:id="0">
    <w:p w14:paraId="73C27FCA" w14:textId="77777777" w:rsidR="00AC40CF" w:rsidRDefault="00AC40CF"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3517" w14:textId="77777777" w:rsidR="00AC40CF" w:rsidRDefault="00AC40CF" w:rsidP="00F137CC">
      <w:r>
        <w:separator/>
      </w:r>
    </w:p>
  </w:footnote>
  <w:footnote w:type="continuationSeparator" w:id="0">
    <w:p w14:paraId="302FE91D" w14:textId="77777777" w:rsidR="00AC40CF" w:rsidRDefault="00AC40CF"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1084"/>
    <w:rsid w:val="000C3725"/>
    <w:rsid w:val="000D1CE4"/>
    <w:rsid w:val="001008DF"/>
    <w:rsid w:val="0011208D"/>
    <w:rsid w:val="00113673"/>
    <w:rsid w:val="00121C69"/>
    <w:rsid w:val="00137CB9"/>
    <w:rsid w:val="0014351A"/>
    <w:rsid w:val="001676CA"/>
    <w:rsid w:val="00182DF3"/>
    <w:rsid w:val="001A75C0"/>
    <w:rsid w:val="001C3DEB"/>
    <w:rsid w:val="001D0DCA"/>
    <w:rsid w:val="002237E8"/>
    <w:rsid w:val="002455F3"/>
    <w:rsid w:val="00282588"/>
    <w:rsid w:val="002873B2"/>
    <w:rsid w:val="002B213B"/>
    <w:rsid w:val="002B7C56"/>
    <w:rsid w:val="002C0348"/>
    <w:rsid w:val="002E4E7E"/>
    <w:rsid w:val="002F17C1"/>
    <w:rsid w:val="003138FF"/>
    <w:rsid w:val="00314AC9"/>
    <w:rsid w:val="00320FE9"/>
    <w:rsid w:val="00334C49"/>
    <w:rsid w:val="00362E4F"/>
    <w:rsid w:val="003630AC"/>
    <w:rsid w:val="003A2627"/>
    <w:rsid w:val="003A7937"/>
    <w:rsid w:val="003B2609"/>
    <w:rsid w:val="003E096D"/>
    <w:rsid w:val="003F1BDF"/>
    <w:rsid w:val="003F446C"/>
    <w:rsid w:val="003F6023"/>
    <w:rsid w:val="0041019B"/>
    <w:rsid w:val="0041618E"/>
    <w:rsid w:val="00422287"/>
    <w:rsid w:val="00432A16"/>
    <w:rsid w:val="004401F7"/>
    <w:rsid w:val="0044020A"/>
    <w:rsid w:val="00443F0C"/>
    <w:rsid w:val="0045276E"/>
    <w:rsid w:val="0048568D"/>
    <w:rsid w:val="00493209"/>
    <w:rsid w:val="00496A82"/>
    <w:rsid w:val="004A34F1"/>
    <w:rsid w:val="004D609B"/>
    <w:rsid w:val="00500034"/>
    <w:rsid w:val="005024ED"/>
    <w:rsid w:val="005032DE"/>
    <w:rsid w:val="00506C16"/>
    <w:rsid w:val="00525DF9"/>
    <w:rsid w:val="00554A3C"/>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7BAF"/>
    <w:rsid w:val="0092258D"/>
    <w:rsid w:val="00930054"/>
    <w:rsid w:val="00935B67"/>
    <w:rsid w:val="009B1B4C"/>
    <w:rsid w:val="00A05F85"/>
    <w:rsid w:val="00A14FAE"/>
    <w:rsid w:val="00A16399"/>
    <w:rsid w:val="00A2196F"/>
    <w:rsid w:val="00A245A7"/>
    <w:rsid w:val="00A524E8"/>
    <w:rsid w:val="00A70EF2"/>
    <w:rsid w:val="00A71EC1"/>
    <w:rsid w:val="00A744E2"/>
    <w:rsid w:val="00AC40CF"/>
    <w:rsid w:val="00AE2C92"/>
    <w:rsid w:val="00AE7A22"/>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A6F47"/>
    <w:rsid w:val="00DB11C3"/>
    <w:rsid w:val="00DD22D0"/>
    <w:rsid w:val="00DF4BDC"/>
    <w:rsid w:val="00E0039A"/>
    <w:rsid w:val="00E72CAA"/>
    <w:rsid w:val="00E72DE1"/>
    <w:rsid w:val="00E837E6"/>
    <w:rsid w:val="00E84FE0"/>
    <w:rsid w:val="00E904B9"/>
    <w:rsid w:val="00E9249B"/>
    <w:rsid w:val="00E96142"/>
    <w:rsid w:val="00EA785C"/>
    <w:rsid w:val="00EC5452"/>
    <w:rsid w:val="00EC6A38"/>
    <w:rsid w:val="00ED20AD"/>
    <w:rsid w:val="00ED46AF"/>
    <w:rsid w:val="00ED59C9"/>
    <w:rsid w:val="00EE364A"/>
    <w:rsid w:val="00F137CC"/>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3228">
      <w:bodyDiv w:val="1"/>
      <w:marLeft w:val="0"/>
      <w:marRight w:val="0"/>
      <w:marTop w:val="0"/>
      <w:marBottom w:val="0"/>
      <w:divBdr>
        <w:top w:val="none" w:sz="0" w:space="0" w:color="auto"/>
        <w:left w:val="none" w:sz="0" w:space="0" w:color="auto"/>
        <w:bottom w:val="none" w:sz="0" w:space="0" w:color="auto"/>
        <w:right w:val="none" w:sz="0" w:space="0" w:color="auto"/>
      </w:divBdr>
    </w:div>
    <w:div w:id="172913296">
      <w:bodyDiv w:val="1"/>
      <w:marLeft w:val="0"/>
      <w:marRight w:val="0"/>
      <w:marTop w:val="0"/>
      <w:marBottom w:val="0"/>
      <w:divBdr>
        <w:top w:val="none" w:sz="0" w:space="0" w:color="auto"/>
        <w:left w:val="none" w:sz="0" w:space="0" w:color="auto"/>
        <w:bottom w:val="none" w:sz="0" w:space="0" w:color="auto"/>
        <w:right w:val="none" w:sz="0" w:space="0" w:color="auto"/>
      </w:divBdr>
    </w:div>
    <w:div w:id="19295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Rural Multi-Hazard Infrastructure Planning for Evacuation Safety and Economic Resilience</dc:title>
  <dc:subject/>
  <dc:creator/>
  <cp:keywords/>
  <dc:description/>
  <cp:lastModifiedBy>Nichols, Patrick</cp:lastModifiedBy>
  <cp:revision>155</cp:revision>
  <cp:lastPrinted>2024-04-30T12:34:00Z</cp:lastPrinted>
  <dcterms:created xsi:type="dcterms:W3CDTF">2024-04-01T12:43:00Z</dcterms:created>
  <dcterms:modified xsi:type="dcterms:W3CDTF">2026-01-08T20:19:00Z</dcterms:modified>
</cp:coreProperties>
</file>