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16A34069" w:rsidR="00500034" w:rsidRDefault="005F5762" w:rsidP="00F72B6B">
                            <w:pPr>
                              <w:pStyle w:val="Heading1"/>
                            </w:pPr>
                            <w:r w:rsidRPr="005F5762">
                              <w:t>Seismic Performance of Steel-Concrete Composite Bridge Piers</w:t>
                            </w:r>
                          </w:p>
                          <w:p w14:paraId="7261024F" w14:textId="2DF45AC1" w:rsidR="00C86335" w:rsidRPr="0044020A" w:rsidRDefault="00C86335" w:rsidP="00FC35C9">
                            <w:pPr>
                              <w:spacing w:before="60" w:after="60"/>
                              <w:rPr>
                                <w:rFonts w:ascii="Arial" w:hAnsi="Arial" w:cs="Arial"/>
                              </w:rPr>
                            </w:pPr>
                            <w:r w:rsidRPr="0044020A">
                              <w:rPr>
                                <w:rFonts w:ascii="Arial" w:hAnsi="Arial" w:cs="Arial"/>
                                <w:i/>
                                <w:iCs/>
                                <w:szCs w:val="18"/>
                              </w:rPr>
                              <w:t>CTIPS-</w:t>
                            </w:r>
                            <w:r w:rsidR="00B86E08">
                              <w:rPr>
                                <w:rFonts w:ascii="Arial" w:hAnsi="Arial" w:cs="Arial"/>
                                <w:i/>
                                <w:iCs/>
                                <w:szCs w:val="18"/>
                              </w:rPr>
                              <w:t>05</w:t>
                            </w:r>
                            <w:r w:rsidR="00B05C4B">
                              <w:rPr>
                                <w:rFonts w:ascii="Arial" w:hAnsi="Arial" w:cs="Arial"/>
                                <w:i/>
                                <w:iCs/>
                                <w:szCs w:val="18"/>
                              </w:rPr>
                              <w:t>9</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16A34069" w:rsidR="00500034" w:rsidRDefault="005F5762" w:rsidP="00F72B6B">
                      <w:pPr>
                        <w:pStyle w:val="Heading1"/>
                      </w:pPr>
                      <w:r w:rsidRPr="005F5762">
                        <w:t>Seismic Performance of Steel-Concrete Composite Bridge Piers</w:t>
                      </w:r>
                    </w:p>
                    <w:p w14:paraId="7261024F" w14:textId="2DF45AC1" w:rsidR="00C86335" w:rsidRPr="0044020A" w:rsidRDefault="00C86335" w:rsidP="00FC35C9">
                      <w:pPr>
                        <w:spacing w:before="60" w:after="60"/>
                        <w:rPr>
                          <w:rFonts w:ascii="Arial" w:hAnsi="Arial" w:cs="Arial"/>
                        </w:rPr>
                      </w:pPr>
                      <w:r w:rsidRPr="0044020A">
                        <w:rPr>
                          <w:rFonts w:ascii="Arial" w:hAnsi="Arial" w:cs="Arial"/>
                          <w:i/>
                          <w:iCs/>
                          <w:szCs w:val="18"/>
                        </w:rPr>
                        <w:t>CTIPS-</w:t>
                      </w:r>
                      <w:r w:rsidR="00B86E08">
                        <w:rPr>
                          <w:rFonts w:ascii="Arial" w:hAnsi="Arial" w:cs="Arial"/>
                          <w:i/>
                          <w:iCs/>
                          <w:szCs w:val="18"/>
                        </w:rPr>
                        <w:t>05</w:t>
                      </w:r>
                      <w:r w:rsidR="00B05C4B">
                        <w:rPr>
                          <w:rFonts w:ascii="Arial" w:hAnsi="Arial" w:cs="Arial"/>
                          <w:i/>
                          <w:iCs/>
                          <w:szCs w:val="18"/>
                        </w:rPr>
                        <w:t>9</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382AEF5B"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B86E08">
              <w:rPr>
                <w:rFonts w:eastAsia="Calibri" w:cs="Times New Roman"/>
                <w:szCs w:val="22"/>
              </w:rPr>
              <w:t>,</w:t>
            </w:r>
            <w:r w:rsidR="00B86E08">
              <w:t xml:space="preserve"> </w:t>
            </w:r>
            <w:r w:rsidR="00B86E08" w:rsidRPr="00B86E08">
              <w:rPr>
                <w:rFonts w:eastAsia="Calibri" w:cs="Times New Roman"/>
                <w:szCs w:val="22"/>
              </w:rPr>
              <w:t>Utah State University</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04BBE779" w:rsidR="00A14FAE" w:rsidRPr="007E7ECF" w:rsidRDefault="001C1007" w:rsidP="00500034">
            <w:pPr>
              <w:spacing w:after="120"/>
              <w:rPr>
                <w:rFonts w:eastAsia="Calibri" w:cs="Times New Roman"/>
                <w:szCs w:val="22"/>
              </w:rPr>
            </w:pPr>
            <w:r w:rsidRPr="001C1007">
              <w:rPr>
                <w:rFonts w:eastAsia="Calibri" w:cs="Times New Roman"/>
                <w:szCs w:val="22"/>
              </w:rPr>
              <w:t xml:space="preserve">Soheil </w:t>
            </w:r>
            <w:proofErr w:type="spellStart"/>
            <w:r w:rsidRPr="001C1007">
              <w:rPr>
                <w:rFonts w:eastAsia="Calibri" w:cs="Times New Roman"/>
                <w:szCs w:val="22"/>
              </w:rPr>
              <w:t>Shafaei</w:t>
            </w:r>
            <w:proofErr w:type="spellEnd"/>
            <w:r w:rsidRPr="001C1007">
              <w:rPr>
                <w:rFonts w:eastAsia="Calibri" w:cs="Times New Roman"/>
                <w:szCs w:val="22"/>
              </w:rPr>
              <w:t>, Ph.D.</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0A13C1AD"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1C1007" w:rsidRPr="001C1007">
              <w:rPr>
                <w:rFonts w:eastAsia="Calibri" w:cs="Times New Roman"/>
                <w:szCs w:val="22"/>
              </w:rPr>
              <w:t>105,019.33</w:t>
            </w:r>
          </w:p>
          <w:p w14:paraId="430619BA" w14:textId="4AA13240" w:rsidR="00500034" w:rsidRPr="007E7ECF" w:rsidRDefault="001C1007" w:rsidP="00500034">
            <w:pPr>
              <w:spacing w:after="120"/>
              <w:rPr>
                <w:rFonts w:eastAsia="Calibri" w:cs="Times New Roman"/>
                <w:szCs w:val="22"/>
              </w:rPr>
            </w:pPr>
            <w:r w:rsidRPr="001C1007">
              <w:rPr>
                <w:rFonts w:eastAsia="Calibri" w:cs="Times New Roman"/>
                <w:szCs w:val="22"/>
              </w:rPr>
              <w:t>Utah Local Technical Assistance Program</w:t>
            </w:r>
            <w:r w:rsidRPr="007E7ECF">
              <w:rPr>
                <w:rFonts w:eastAsia="Calibri" w:cs="Times New Roman"/>
                <w:szCs w:val="22"/>
              </w:rPr>
              <w:t xml:space="preserve"> – $</w:t>
            </w:r>
            <w:r w:rsidRPr="001C1007">
              <w:rPr>
                <w:rFonts w:eastAsia="Calibri" w:cs="Times New Roman"/>
                <w:szCs w:val="22"/>
              </w:rPr>
              <w:t>105,0</w:t>
            </w:r>
            <w:r>
              <w:rPr>
                <w:rFonts w:eastAsia="Calibri" w:cs="Times New Roman"/>
                <w:szCs w:val="22"/>
              </w:rPr>
              <w:t>00</w:t>
            </w:r>
            <w:r w:rsidRPr="001C1007">
              <w:rPr>
                <w:rFonts w:eastAsia="Calibri" w:cs="Times New Roman"/>
                <w:szCs w:val="22"/>
              </w:rPr>
              <w:t>.</w:t>
            </w:r>
            <w:r>
              <w:rPr>
                <w:rFonts w:eastAsia="Calibri" w:cs="Times New Roman"/>
                <w:szCs w:val="22"/>
              </w:rPr>
              <w:t>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31182A0D" w:rsidR="00500034" w:rsidRPr="007E7ECF" w:rsidRDefault="001C1007" w:rsidP="00500034">
            <w:pPr>
              <w:spacing w:after="120"/>
              <w:rPr>
                <w:rFonts w:eastAsia="Calibri" w:cs="Times New Roman"/>
                <w:szCs w:val="22"/>
              </w:rPr>
            </w:pPr>
            <w:r w:rsidRPr="001C1007">
              <w:rPr>
                <w:rFonts w:eastAsia="Calibri" w:cs="Times New Roman"/>
                <w:szCs w:val="22"/>
              </w:rPr>
              <w:t>$210,019.33</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555197A8" w:rsidR="00500034" w:rsidRPr="007E7ECF" w:rsidRDefault="00B86E08" w:rsidP="00500034">
            <w:pPr>
              <w:spacing w:after="120"/>
              <w:rPr>
                <w:rFonts w:eastAsia="Calibri" w:cs="Times New Roman"/>
                <w:szCs w:val="22"/>
              </w:rPr>
            </w:pPr>
            <w:r>
              <w:rPr>
                <w:rFonts w:eastAsia="Calibri" w:cs="Times New Roman"/>
                <w:szCs w:val="22"/>
              </w:rPr>
              <w:t>11/17/2025 to 11/16/2027</w:t>
            </w:r>
          </w:p>
        </w:tc>
      </w:tr>
    </w:tbl>
    <w:p w14:paraId="712C50E7" w14:textId="6803A518" w:rsidR="002873B2" w:rsidRPr="00506C16" w:rsidRDefault="002873B2" w:rsidP="00506C16">
      <w:pPr>
        <w:pStyle w:val="Heading2"/>
      </w:pPr>
      <w:r w:rsidRPr="00506C16">
        <w:t>Project Description</w:t>
      </w:r>
    </w:p>
    <w:p w14:paraId="5B16B906" w14:textId="77777777" w:rsidR="00DB0407" w:rsidRPr="00DB0407" w:rsidRDefault="00DB0407" w:rsidP="00DB0407">
      <w:pPr>
        <w:spacing w:after="120"/>
        <w:rPr>
          <w:rFonts w:eastAsia="Calibri"/>
          <w:szCs w:val="18"/>
        </w:rPr>
      </w:pPr>
      <w:r w:rsidRPr="00DB0407">
        <w:rPr>
          <w:rFonts w:eastAsia="Calibri"/>
          <w:szCs w:val="18"/>
        </w:rPr>
        <w:t>Traditional cast-in-place reinforced concrete (RC) bridge piers, while common, involve a slow, multi-stage construction process that elevates project costs and poses significant safety risks to both workers and traffic within construction zones. As an innovative alternative, steel-concrete composite structural systems offer a substantial reduction in construction time—estimated at up to 40%—thereby enhancing project schedules and safety. However, the widespread adoption of this promising technology is currently hindered by a critical lack of knowledge and codified guidance regarding its seismic design and performance.</w:t>
      </w:r>
    </w:p>
    <w:p w14:paraId="11C4F7DE" w14:textId="77777777" w:rsidR="00DB0407" w:rsidRPr="00DB0407" w:rsidRDefault="00DB0407" w:rsidP="00DB0407">
      <w:pPr>
        <w:spacing w:after="120"/>
        <w:rPr>
          <w:rFonts w:eastAsia="Calibri"/>
          <w:szCs w:val="18"/>
        </w:rPr>
      </w:pPr>
      <w:r w:rsidRPr="00DB0407">
        <w:rPr>
          <w:rFonts w:eastAsia="Calibri"/>
          <w:szCs w:val="18"/>
        </w:rPr>
        <w:t>This research proposal aims to systematically address this gap by investigating the key parameters influencing seismic behavior and developing comprehensive design guidelines for steel-concrete composite bridge piers. The project’s primary objectives include the design of multiple composite pier configurations, the development and validation of detailed 3D nonlinear finite element models using commercial software, and the execution of performance-based seismic assessments to evaluate damage states and failure mechanisms. The methodology will encompass designing piers and their connections to foundations based on existing experimental data, creating sophisticated finite element models that capture material nonlinearities, and conducting extensive pushover analyses under varied conditions (e.g., axial load, reinforcement ratio, cross-sections).</w:t>
      </w:r>
    </w:p>
    <w:p w14:paraId="1CE8545F" w14:textId="4C65CD93" w:rsidR="003E096D" w:rsidRPr="00002E38" w:rsidRDefault="00DB0407" w:rsidP="00DB0407">
      <w:pPr>
        <w:spacing w:after="240"/>
        <w:rPr>
          <w:rFonts w:eastAsia="Calibri"/>
          <w:szCs w:val="18"/>
        </w:rPr>
      </w:pPr>
      <w:r w:rsidRPr="00DB0407">
        <w:rPr>
          <w:rFonts w:eastAsia="Calibri"/>
          <w:szCs w:val="18"/>
        </w:rPr>
        <w:t xml:space="preserve">The anticipated outcomes are highly relevant to national strategic goals, including improved seismic resiliency through higher ductility and stiffness, enhanced safety via reduced time in construction work </w:t>
      </w:r>
      <w:r w:rsidRPr="00DB0407">
        <w:rPr>
          <w:rFonts w:eastAsia="Calibri"/>
          <w:szCs w:val="18"/>
        </w:rPr>
        <w:lastRenderedPageBreak/>
        <w:t>zones, and greater economic efficiency through accelerated project completion. The research will yield advanced numerical modeling techniques, performance-based seismic design methodologies, and practical design recommendations and specifications for structural engineers. These outputs will be disseminated through a final report to the US Department of Transportation (USDOT), peer-reviewed publications, and conference presentations, ultimately contributing to the development of more resilient and rapidly constructed infrastructure. The project also offers significant educational benefits by training students in advanced computational modeling and seismic design, fostering collaboration between academia and industry. The work is planned over a 24-month period, structured into four six-month phases covering literature review and design, model development, seismic analysis, and the formulation of final design guidelines.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019E2EC6" w14:textId="4F0A0B42" w:rsidR="00BF1ABE" w:rsidRDefault="00BF1ABE" w:rsidP="00BF1ABE">
      <w:pPr>
        <w:keepNext/>
        <w:rPr>
          <w:rFonts w:cs="Times New Roman"/>
          <w:szCs w:val="24"/>
        </w:rPr>
      </w:pPr>
      <w:r>
        <w:rPr>
          <w:rFonts w:cs="Times New Roman"/>
          <w:color w:val="000000"/>
          <w:szCs w:val="24"/>
        </w:rPr>
        <w:t xml:space="preserve">The research project creates significant outputs for </w:t>
      </w:r>
      <w:r>
        <w:rPr>
          <w:rFonts w:cs="Times New Roman"/>
          <w:szCs w:val="24"/>
        </w:rPr>
        <w:t>t</w:t>
      </w:r>
      <w:r w:rsidRPr="00BB5680">
        <w:rPr>
          <w:rFonts w:cs="Times New Roman"/>
          <w:szCs w:val="24"/>
        </w:rPr>
        <w:t>he USDOT</w:t>
      </w:r>
      <w:r>
        <w:rPr>
          <w:rFonts w:cs="Times New Roman"/>
          <w:szCs w:val="24"/>
        </w:rPr>
        <w:t xml:space="preserve"> and bridge structural engineers:</w:t>
      </w:r>
    </w:p>
    <w:p w14:paraId="2C7502C0" w14:textId="77777777" w:rsidR="00BF1ABE" w:rsidRDefault="00BF1ABE" w:rsidP="00BF1ABE">
      <w:pPr>
        <w:pStyle w:val="ListParagraph"/>
        <w:keepLines/>
        <w:numPr>
          <w:ilvl w:val="0"/>
          <w:numId w:val="4"/>
        </w:numPr>
        <w:spacing w:after="240"/>
        <w:contextualSpacing/>
        <w:rPr>
          <w:rFonts w:cs="Times New Roman"/>
          <w:szCs w:val="24"/>
        </w:rPr>
      </w:pPr>
      <w:r>
        <w:rPr>
          <w:b/>
          <w:bCs/>
        </w:rPr>
        <w:t>Advance numerical modeling</w:t>
      </w:r>
      <w:r w:rsidRPr="00BB5680">
        <w:t>:</w:t>
      </w:r>
      <w:r>
        <w:t xml:space="preserve"> The final report presents a guideline for developing </w:t>
      </w:r>
      <w:r>
        <w:rPr>
          <w:rFonts w:cs="Times New Roman"/>
          <w:szCs w:val="24"/>
        </w:rPr>
        <w:t>d</w:t>
      </w:r>
      <w:r w:rsidRPr="002544C4">
        <w:rPr>
          <w:rFonts w:cs="Times New Roman"/>
          <w:szCs w:val="24"/>
        </w:rPr>
        <w:t>etailed 3D nonlinear finite element modeling of bridges with steel-concrete composite piers</w:t>
      </w:r>
      <w:r>
        <w:rPr>
          <w:rFonts w:cs="Times New Roman"/>
          <w:szCs w:val="24"/>
        </w:rPr>
        <w:t xml:space="preserve"> using a commercial finite element software program.</w:t>
      </w:r>
    </w:p>
    <w:p w14:paraId="1FF748A9" w14:textId="77777777" w:rsidR="00BF1ABE" w:rsidRPr="00EE4C4E" w:rsidRDefault="00BF1ABE" w:rsidP="00BF1ABE">
      <w:pPr>
        <w:pStyle w:val="ListParagraph"/>
        <w:keepLines/>
        <w:numPr>
          <w:ilvl w:val="0"/>
          <w:numId w:val="4"/>
        </w:numPr>
        <w:spacing w:after="240"/>
        <w:contextualSpacing/>
        <w:rPr>
          <w:rFonts w:cs="Times New Roman"/>
          <w:szCs w:val="24"/>
        </w:rPr>
      </w:pPr>
      <w:r>
        <w:rPr>
          <w:b/>
          <w:bCs/>
        </w:rPr>
        <w:t>Performance-based seismic design</w:t>
      </w:r>
      <w:r w:rsidRPr="00BB5680">
        <w:t>:</w:t>
      </w:r>
      <w:r>
        <w:t xml:space="preserve"> The final</w:t>
      </w:r>
      <w:r w:rsidRPr="00EE4C4E">
        <w:t xml:space="preserve"> </w:t>
      </w:r>
      <w:r>
        <w:t xml:space="preserve">report presents a guideline for conducting seismic evaluation of </w:t>
      </w:r>
      <w:r w:rsidRPr="002544C4">
        <w:rPr>
          <w:rFonts w:cs="Times New Roman"/>
          <w:szCs w:val="24"/>
        </w:rPr>
        <w:t>bridges with steel-concrete composite piers</w:t>
      </w:r>
      <w:r>
        <w:rPr>
          <w:rFonts w:cs="Times New Roman"/>
          <w:szCs w:val="24"/>
        </w:rPr>
        <w:t>.</w:t>
      </w:r>
    </w:p>
    <w:p w14:paraId="216D6363" w14:textId="77777777" w:rsidR="00BF1ABE" w:rsidRDefault="00BF1ABE" w:rsidP="00BF1ABE">
      <w:pPr>
        <w:pStyle w:val="ListParagraph"/>
        <w:keepLines/>
        <w:numPr>
          <w:ilvl w:val="0"/>
          <w:numId w:val="4"/>
        </w:numPr>
        <w:spacing w:after="240"/>
        <w:contextualSpacing/>
        <w:rPr>
          <w:rFonts w:cs="Times New Roman"/>
          <w:szCs w:val="24"/>
        </w:rPr>
      </w:pPr>
      <w:r>
        <w:rPr>
          <w:b/>
          <w:bCs/>
        </w:rPr>
        <w:t>Seismic design of bridges</w:t>
      </w:r>
      <w:r w:rsidRPr="00BB5680">
        <w:t>:</w:t>
      </w:r>
      <w:r>
        <w:t xml:space="preserve"> The final</w:t>
      </w:r>
      <w:r w:rsidRPr="00EE4C4E">
        <w:t xml:space="preserve"> </w:t>
      </w:r>
      <w:r>
        <w:t xml:space="preserve">report presents design recommendations and specifications for the seismic design of </w:t>
      </w:r>
      <w:r w:rsidRPr="002544C4">
        <w:rPr>
          <w:rFonts w:cs="Times New Roman"/>
          <w:szCs w:val="24"/>
        </w:rPr>
        <w:t>bridges with steel-concrete composite piers</w:t>
      </w:r>
      <w:r>
        <w:rPr>
          <w:rFonts w:cs="Times New Roman"/>
          <w:szCs w:val="24"/>
        </w:rPr>
        <w:t>.</w:t>
      </w:r>
    </w:p>
    <w:p w14:paraId="21634872" w14:textId="09A1DB79" w:rsidR="003F6023" w:rsidRPr="00BF1ABE" w:rsidRDefault="00BF1ABE" w:rsidP="00BF1ABE">
      <w:pPr>
        <w:pStyle w:val="ListParagraph"/>
        <w:keepLines/>
        <w:numPr>
          <w:ilvl w:val="0"/>
          <w:numId w:val="4"/>
        </w:numPr>
        <w:spacing w:after="240"/>
        <w:contextualSpacing/>
        <w:rPr>
          <w:rFonts w:cs="Times New Roman"/>
          <w:szCs w:val="24"/>
        </w:rPr>
      </w:pPr>
      <w:r w:rsidRPr="00BF1ABE">
        <w:rPr>
          <w:b/>
          <w:bCs/>
        </w:rPr>
        <w:t>Publications and presentations</w:t>
      </w:r>
      <w:r>
        <w:t>: the findings of this research project will be published in</w:t>
      </w:r>
      <w:r w:rsidRPr="002A1498">
        <w:t xml:space="preserve"> peer-reviewed</w:t>
      </w:r>
      <w:r>
        <w:t xml:space="preserve"> journals and national/international conferences.</w:t>
      </w:r>
    </w:p>
    <w:p w14:paraId="22C67A86" w14:textId="77777777" w:rsidR="000B7B9F" w:rsidRDefault="002873B2" w:rsidP="000B7B9F">
      <w:pPr>
        <w:pStyle w:val="Heading2"/>
      </w:pPr>
      <w:r w:rsidRPr="00CE0EC0">
        <w:t>Outcomes/Impacts</w:t>
      </w:r>
    </w:p>
    <w:p w14:paraId="442D0DF5" w14:textId="0662746C" w:rsidR="00BF1ABE" w:rsidRDefault="00BF1ABE" w:rsidP="00BF1ABE">
      <w:pPr>
        <w:keepNext/>
        <w:rPr>
          <w:rFonts w:cs="Times New Roman"/>
          <w:szCs w:val="24"/>
        </w:rPr>
      </w:pPr>
      <w:r>
        <w:rPr>
          <w:rFonts w:cs="Times New Roman"/>
          <w:color w:val="000000"/>
          <w:szCs w:val="24"/>
        </w:rPr>
        <w:t xml:space="preserve">The research project creates significant outcomes for </w:t>
      </w:r>
      <w:r>
        <w:rPr>
          <w:rFonts w:cs="Times New Roman"/>
          <w:szCs w:val="24"/>
        </w:rPr>
        <w:t>t</w:t>
      </w:r>
      <w:r w:rsidRPr="00BB5680">
        <w:rPr>
          <w:rFonts w:cs="Times New Roman"/>
          <w:szCs w:val="24"/>
        </w:rPr>
        <w:t>he USDOT</w:t>
      </w:r>
      <w:r>
        <w:rPr>
          <w:rFonts w:cs="Times New Roman"/>
          <w:szCs w:val="24"/>
        </w:rPr>
        <w:t xml:space="preserve"> and bridge structural engineers:</w:t>
      </w:r>
    </w:p>
    <w:p w14:paraId="0F7D47F9" w14:textId="77777777" w:rsidR="00BF1ABE" w:rsidRDefault="00BF1ABE" w:rsidP="00C50588">
      <w:pPr>
        <w:pStyle w:val="ListParagraph"/>
        <w:keepLines/>
        <w:numPr>
          <w:ilvl w:val="0"/>
          <w:numId w:val="4"/>
        </w:numPr>
        <w:spacing w:after="240"/>
        <w:contextualSpacing/>
        <w:rPr>
          <w:rFonts w:cs="Times New Roman"/>
          <w:szCs w:val="24"/>
        </w:rPr>
      </w:pPr>
      <w:r>
        <w:rPr>
          <w:b/>
          <w:bCs/>
        </w:rPr>
        <w:t>Advance numerical modeling</w:t>
      </w:r>
      <w:r w:rsidRPr="00BB5680">
        <w:t>:</w:t>
      </w:r>
      <w:r>
        <w:t xml:space="preserve"> </w:t>
      </w:r>
      <w:r>
        <w:rPr>
          <w:rFonts w:cs="Times New Roman"/>
          <w:szCs w:val="24"/>
        </w:rPr>
        <w:t xml:space="preserve">The advanced </w:t>
      </w:r>
      <w:r w:rsidRPr="002544C4">
        <w:rPr>
          <w:rFonts w:cs="Times New Roman"/>
          <w:szCs w:val="24"/>
        </w:rPr>
        <w:t>nonlinear finite element modeling</w:t>
      </w:r>
      <w:r>
        <w:rPr>
          <w:rFonts w:cs="Times New Roman"/>
          <w:szCs w:val="24"/>
        </w:rPr>
        <w:t xml:space="preserve"> is used to predict accurately seismic behavior of </w:t>
      </w:r>
      <w:r w:rsidRPr="002544C4">
        <w:rPr>
          <w:rFonts w:cs="Times New Roman"/>
          <w:szCs w:val="24"/>
        </w:rPr>
        <w:t>bridges with steel-concrete composite piers</w:t>
      </w:r>
      <w:r>
        <w:rPr>
          <w:rFonts w:cs="Times New Roman"/>
          <w:szCs w:val="24"/>
        </w:rPr>
        <w:t>.</w:t>
      </w:r>
    </w:p>
    <w:p w14:paraId="65FDF0C7" w14:textId="77777777" w:rsidR="00BF1ABE" w:rsidRDefault="00BF1ABE" w:rsidP="00C50588">
      <w:pPr>
        <w:pStyle w:val="ListParagraph"/>
        <w:keepLines/>
        <w:numPr>
          <w:ilvl w:val="0"/>
          <w:numId w:val="4"/>
        </w:numPr>
        <w:spacing w:after="240"/>
        <w:contextualSpacing/>
        <w:rPr>
          <w:rFonts w:cs="Times New Roman"/>
          <w:szCs w:val="24"/>
        </w:rPr>
      </w:pPr>
      <w:r>
        <w:rPr>
          <w:b/>
          <w:bCs/>
        </w:rPr>
        <w:t>Performance-based seismic design</w:t>
      </w:r>
      <w:r w:rsidRPr="00BB5680">
        <w:t>:</w:t>
      </w:r>
      <w:r>
        <w:t xml:space="preserve"> The performance</w:t>
      </w:r>
      <w:r w:rsidRPr="00FF40D9">
        <w:rPr>
          <w:rFonts w:cs="Times New Roman"/>
          <w:szCs w:val="24"/>
        </w:rPr>
        <w:t>-</w:t>
      </w:r>
      <w:r>
        <w:rPr>
          <w:rFonts w:cs="Times New Roman"/>
          <w:szCs w:val="24"/>
        </w:rPr>
        <w:t xml:space="preserve">based seismic design is used to design seismic resilient </w:t>
      </w:r>
      <w:r w:rsidRPr="002544C4">
        <w:rPr>
          <w:rFonts w:cs="Times New Roman"/>
          <w:szCs w:val="24"/>
        </w:rPr>
        <w:t>bridges with steel-concrete composite piers</w:t>
      </w:r>
      <w:r>
        <w:rPr>
          <w:rFonts w:cs="Times New Roman"/>
          <w:szCs w:val="24"/>
        </w:rPr>
        <w:t>.</w:t>
      </w:r>
    </w:p>
    <w:p w14:paraId="5E511BDB" w14:textId="2277B8EC" w:rsidR="00F137CC" w:rsidRPr="00BF1ABE" w:rsidRDefault="00BF1ABE" w:rsidP="00C50588">
      <w:pPr>
        <w:pStyle w:val="ListParagraph"/>
        <w:keepLines/>
        <w:numPr>
          <w:ilvl w:val="0"/>
          <w:numId w:val="4"/>
        </w:numPr>
        <w:spacing w:after="240"/>
        <w:contextualSpacing/>
        <w:rPr>
          <w:rFonts w:cs="Times New Roman"/>
          <w:szCs w:val="24"/>
        </w:rPr>
      </w:pPr>
      <w:r w:rsidRPr="00BF1ABE">
        <w:rPr>
          <w:b/>
          <w:bCs/>
        </w:rPr>
        <w:t>Seismic design of bridges</w:t>
      </w:r>
      <w:r w:rsidRPr="00BB5680">
        <w:t>:</w:t>
      </w:r>
      <w:r>
        <w:t xml:space="preserve"> The seismic design recommendations and specifications for </w:t>
      </w:r>
      <w:r w:rsidRPr="00BF1ABE">
        <w:rPr>
          <w:rFonts w:cs="Times New Roman"/>
          <w:szCs w:val="24"/>
        </w:rPr>
        <w:t>bridges with steel-concrete composite piers will results in reduction of seismic vulnerability of critical infrastructure in the US.</w:t>
      </w:r>
    </w:p>
    <w:p w14:paraId="2E4A52BC" w14:textId="0DBF2BA7" w:rsidR="000B7B9F" w:rsidRDefault="002873B2" w:rsidP="002B213B">
      <w:pPr>
        <w:pStyle w:val="Heading2"/>
      </w:pPr>
      <w:r>
        <w:t>Final Report</w:t>
      </w:r>
    </w:p>
    <w:p w14:paraId="79FA5744" w14:textId="5E1EC316"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4B8C" w14:textId="77777777" w:rsidR="009F3371" w:rsidRDefault="009F3371" w:rsidP="00F137CC">
      <w:r>
        <w:separator/>
      </w:r>
    </w:p>
  </w:endnote>
  <w:endnote w:type="continuationSeparator" w:id="0">
    <w:p w14:paraId="26CCB83F" w14:textId="77777777" w:rsidR="009F3371" w:rsidRDefault="009F3371"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7F9B" w14:textId="77777777" w:rsidR="009F3371" w:rsidRDefault="009F3371" w:rsidP="00F137CC">
      <w:r>
        <w:separator/>
      </w:r>
    </w:p>
  </w:footnote>
  <w:footnote w:type="continuationSeparator" w:id="0">
    <w:p w14:paraId="78AFCB26" w14:textId="77777777" w:rsidR="009F3371" w:rsidRDefault="009F3371"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37A6"/>
    <w:multiLevelType w:val="hybridMultilevel"/>
    <w:tmpl w:val="E5F0C37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1008DF"/>
    <w:rsid w:val="0011208D"/>
    <w:rsid w:val="00113673"/>
    <w:rsid w:val="00121C69"/>
    <w:rsid w:val="00137CB9"/>
    <w:rsid w:val="0014351A"/>
    <w:rsid w:val="001676CA"/>
    <w:rsid w:val="00182DF3"/>
    <w:rsid w:val="001A75C0"/>
    <w:rsid w:val="001C1007"/>
    <w:rsid w:val="001C3DEB"/>
    <w:rsid w:val="001D0DCA"/>
    <w:rsid w:val="002237E8"/>
    <w:rsid w:val="00282588"/>
    <w:rsid w:val="002873B2"/>
    <w:rsid w:val="002B213B"/>
    <w:rsid w:val="002B7C56"/>
    <w:rsid w:val="002C0348"/>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568D"/>
    <w:rsid w:val="00487AAA"/>
    <w:rsid w:val="00493209"/>
    <w:rsid w:val="00496A82"/>
    <w:rsid w:val="004A34F1"/>
    <w:rsid w:val="004D609B"/>
    <w:rsid w:val="00500034"/>
    <w:rsid w:val="005024ED"/>
    <w:rsid w:val="005032DE"/>
    <w:rsid w:val="00506C16"/>
    <w:rsid w:val="00525DF9"/>
    <w:rsid w:val="005479D6"/>
    <w:rsid w:val="00554A3C"/>
    <w:rsid w:val="00593BBA"/>
    <w:rsid w:val="005A0E78"/>
    <w:rsid w:val="005A3C26"/>
    <w:rsid w:val="005A77FF"/>
    <w:rsid w:val="005D7163"/>
    <w:rsid w:val="005E1390"/>
    <w:rsid w:val="005E417C"/>
    <w:rsid w:val="005F5762"/>
    <w:rsid w:val="0065700E"/>
    <w:rsid w:val="006766B9"/>
    <w:rsid w:val="00681FC3"/>
    <w:rsid w:val="006A6A33"/>
    <w:rsid w:val="006B18A0"/>
    <w:rsid w:val="006B1E1C"/>
    <w:rsid w:val="006B3976"/>
    <w:rsid w:val="006B44C2"/>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E29E7"/>
    <w:rsid w:val="008E7BAF"/>
    <w:rsid w:val="009072A3"/>
    <w:rsid w:val="0092258D"/>
    <w:rsid w:val="00930054"/>
    <w:rsid w:val="00935B67"/>
    <w:rsid w:val="009B1B4C"/>
    <w:rsid w:val="009F3371"/>
    <w:rsid w:val="00A05F85"/>
    <w:rsid w:val="00A14FAE"/>
    <w:rsid w:val="00A16399"/>
    <w:rsid w:val="00A2196F"/>
    <w:rsid w:val="00A245A7"/>
    <w:rsid w:val="00A524E8"/>
    <w:rsid w:val="00A70EF2"/>
    <w:rsid w:val="00A71EC1"/>
    <w:rsid w:val="00A744E2"/>
    <w:rsid w:val="00AE2C92"/>
    <w:rsid w:val="00AE7A22"/>
    <w:rsid w:val="00AF64D1"/>
    <w:rsid w:val="00B05C4B"/>
    <w:rsid w:val="00B529B6"/>
    <w:rsid w:val="00B727E9"/>
    <w:rsid w:val="00B7524E"/>
    <w:rsid w:val="00B769EB"/>
    <w:rsid w:val="00B821F7"/>
    <w:rsid w:val="00B85D86"/>
    <w:rsid w:val="00B86E08"/>
    <w:rsid w:val="00B90F4C"/>
    <w:rsid w:val="00BF1ABE"/>
    <w:rsid w:val="00C36931"/>
    <w:rsid w:val="00C450A6"/>
    <w:rsid w:val="00C4529B"/>
    <w:rsid w:val="00C465F6"/>
    <w:rsid w:val="00C50588"/>
    <w:rsid w:val="00C54039"/>
    <w:rsid w:val="00C86335"/>
    <w:rsid w:val="00CA10E0"/>
    <w:rsid w:val="00CC131A"/>
    <w:rsid w:val="00CC5054"/>
    <w:rsid w:val="00CC5150"/>
    <w:rsid w:val="00D05E78"/>
    <w:rsid w:val="00D263EF"/>
    <w:rsid w:val="00D26691"/>
    <w:rsid w:val="00D342FF"/>
    <w:rsid w:val="00D45B8D"/>
    <w:rsid w:val="00D64DFA"/>
    <w:rsid w:val="00D72A17"/>
    <w:rsid w:val="00DB0407"/>
    <w:rsid w:val="00DB11C3"/>
    <w:rsid w:val="00DD22D0"/>
    <w:rsid w:val="00DF4BDC"/>
    <w:rsid w:val="00E0039A"/>
    <w:rsid w:val="00E1163D"/>
    <w:rsid w:val="00E72CAA"/>
    <w:rsid w:val="00E72DE1"/>
    <w:rsid w:val="00E837E6"/>
    <w:rsid w:val="00E84FE0"/>
    <w:rsid w:val="00E904B9"/>
    <w:rsid w:val="00E96142"/>
    <w:rsid w:val="00EA785C"/>
    <w:rsid w:val="00EC6A38"/>
    <w:rsid w:val="00ED20AD"/>
    <w:rsid w:val="00ED46AF"/>
    <w:rsid w:val="00ED59C9"/>
    <w:rsid w:val="00EE364A"/>
    <w:rsid w:val="00F137CC"/>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UTC Project Information | Investigation of Dual Grade/Hybrid Steel Plate Girders Utilizing Stainless Steel</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Seismic Performance of Steel-Concrete Composite Bridge Piers</dc:title>
  <dc:subject/>
  <dc:creator/>
  <cp:keywords/>
  <dc:description/>
  <cp:lastModifiedBy>Nichols, Patrick</cp:lastModifiedBy>
  <cp:revision>157</cp:revision>
  <cp:lastPrinted>2024-04-30T12:34:00Z</cp:lastPrinted>
  <dcterms:created xsi:type="dcterms:W3CDTF">2024-04-01T12:43:00Z</dcterms:created>
  <dcterms:modified xsi:type="dcterms:W3CDTF">2025-12-25T20:45:00Z</dcterms:modified>
</cp:coreProperties>
</file>