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D71F9" w14:textId="0CE6A430" w:rsidR="00C36931" w:rsidRDefault="00C36931" w:rsidP="00C36931">
      <w:pPr>
        <w:pStyle w:val="Header"/>
        <w:tabs>
          <w:tab w:val="clear" w:pos="9360"/>
        </w:tabs>
        <w:spacing w:after="360"/>
        <w:ind w:left="-360" w:right="-360"/>
        <w:jc w:val="center"/>
      </w:pPr>
      <w:r>
        <w:rPr>
          <w:noProof/>
        </w:rPr>
        <w:drawing>
          <wp:inline distT="0" distB="0" distL="0" distR="0" wp14:anchorId="70AE5C84" wp14:editId="7E075F8C">
            <wp:extent cx="4454391" cy="1053465"/>
            <wp:effectExtent l="0" t="0" r="3810" b="0"/>
            <wp:docPr id="3" name="Picture 3" descr="Center for Transformative Infrastructure Preservation and Sustainability (CT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enter for Transformative Infrastructure Preservation and Sustainability (CTIP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454391" cy="1053465"/>
                    </a:xfrm>
                    <a:prstGeom prst="rect">
                      <a:avLst/>
                    </a:prstGeom>
                    <a:noFill/>
                    <a:ln>
                      <a:noFill/>
                    </a:ln>
                  </pic:spPr>
                </pic:pic>
              </a:graphicData>
            </a:graphic>
          </wp:inline>
        </w:drawing>
      </w:r>
    </w:p>
    <w:p w14:paraId="06E52E18" w14:textId="4C83EDFA" w:rsidR="00500034" w:rsidRDefault="00500034" w:rsidP="004A34F1">
      <w:pPr>
        <w:pStyle w:val="Header"/>
        <w:tabs>
          <w:tab w:val="clear" w:pos="9360"/>
        </w:tabs>
        <w:spacing w:after="120"/>
        <w:ind w:left="-360" w:right="-360"/>
        <w:jc w:val="center"/>
      </w:pPr>
      <w:r>
        <w:rPr>
          <w:noProof/>
        </w:rPr>
        <mc:AlternateContent>
          <mc:Choice Requires="wps">
            <w:drawing>
              <wp:inline distT="0" distB="0" distL="0" distR="0" wp14:anchorId="311A2846" wp14:editId="41010817">
                <wp:extent cx="6333214" cy="612250"/>
                <wp:effectExtent l="0" t="0" r="10795" b="14605"/>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3214" cy="612250"/>
                        </a:xfrm>
                        <a:prstGeom prst="rect">
                          <a:avLst/>
                        </a:prstGeom>
                        <a:solidFill>
                          <a:srgbClr val="17492C"/>
                        </a:solidFill>
                        <a:ln w="9525">
                          <a:solidFill>
                            <a:schemeClr val="tx1"/>
                          </a:solidFill>
                          <a:miter lim="800000"/>
                          <a:headEnd/>
                          <a:tailEnd/>
                        </a:ln>
                      </wps:spPr>
                      <wps:txbx>
                        <w:txbxContent>
                          <w:p w14:paraId="568D9CF8" w14:textId="32B5440A" w:rsidR="00500034" w:rsidRDefault="00BC129E" w:rsidP="00F72B6B">
                            <w:pPr>
                              <w:pStyle w:val="Heading1"/>
                            </w:pPr>
                            <w:r w:rsidRPr="00BC129E">
                              <w:t>Assessing the Impacts of Safety-Focused Design Interventions on Arterial Roadways</w:t>
                            </w:r>
                          </w:p>
                          <w:p w14:paraId="7261024F" w14:textId="720790C3" w:rsidR="00C86335" w:rsidRPr="0044020A" w:rsidRDefault="00C86335" w:rsidP="00FC35C9">
                            <w:pPr>
                              <w:spacing w:before="60" w:after="60"/>
                              <w:rPr>
                                <w:rFonts w:ascii="Arial" w:hAnsi="Arial" w:cs="Arial"/>
                              </w:rPr>
                            </w:pPr>
                            <w:r w:rsidRPr="0044020A">
                              <w:rPr>
                                <w:rFonts w:ascii="Arial" w:hAnsi="Arial" w:cs="Arial"/>
                                <w:i/>
                                <w:iCs/>
                                <w:szCs w:val="18"/>
                              </w:rPr>
                              <w:t>CTIPS-</w:t>
                            </w:r>
                            <w:r w:rsidR="00595E4B">
                              <w:rPr>
                                <w:rFonts w:ascii="Arial" w:hAnsi="Arial" w:cs="Arial"/>
                                <w:i/>
                                <w:iCs/>
                                <w:szCs w:val="18"/>
                              </w:rPr>
                              <w:t>067</w:t>
                            </w:r>
                            <w:r w:rsidRPr="0044020A">
                              <w:rPr>
                                <w:rFonts w:ascii="Arial" w:hAnsi="Arial" w:cs="Arial"/>
                                <w:i/>
                                <w:iCs/>
                                <w:szCs w:val="18"/>
                              </w:rPr>
                              <w:t xml:space="preserve"> – UTC Project Information</w:t>
                            </w:r>
                          </w:p>
                        </w:txbxContent>
                      </wps:txbx>
                      <wps:bodyPr rot="0" vert="horz" wrap="square" lIns="182880" tIns="91440" rIns="182880" bIns="91440" anchor="t" anchorCtr="0">
                        <a:spAutoFit/>
                      </wps:bodyPr>
                    </wps:wsp>
                  </a:graphicData>
                </a:graphic>
              </wp:inline>
            </w:drawing>
          </mc:Choice>
          <mc:Fallback>
            <w:pict>
              <v:shapetype w14:anchorId="311A2846" id="_x0000_t202" coordsize="21600,21600" o:spt="202" path="m,l,21600r21600,l21600,xe">
                <v:stroke joinstyle="miter"/>
                <v:path gradientshapeok="t" o:connecttype="rect"/>
              </v:shapetype>
              <v:shape id="Text Box 2" o:spid="_x0000_s1026" type="#_x0000_t202" alt="&quot;&quot;" style="width:498.7pt;height: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" fillcolor="#17492c" strokecolor="black [3213]">
                <v:textbox style="mso-fit-shape-to-text:t" inset="14.4pt,7.2pt,14.4pt,7.2pt">
                  <w:txbxContent>
                    <w:p w14:paraId="568D9CF8" w14:textId="32B5440A" w:rsidR="00500034" w:rsidRDefault="00BC129E" w:rsidP="00F72B6B">
                      <w:pPr>
                        <w:pStyle w:val="Heading1"/>
                      </w:pPr>
                      <w:r w:rsidRPr="00BC129E">
                        <w:t>Assessing the Impacts of Safety-Focused Design Interventions on Arterial Roadways</w:t>
                      </w:r>
                    </w:p>
                    <w:p w14:paraId="7261024F" w14:textId="720790C3" w:rsidR="00C86335" w:rsidRPr="0044020A" w:rsidRDefault="00C86335" w:rsidP="00FC35C9">
                      <w:pPr>
                        <w:spacing w:before="60" w:after="60"/>
                        <w:rPr>
                          <w:rFonts w:ascii="Arial" w:hAnsi="Arial" w:cs="Arial"/>
                        </w:rPr>
                      </w:pPr>
                      <w:r w:rsidRPr="0044020A">
                        <w:rPr>
                          <w:rFonts w:ascii="Arial" w:hAnsi="Arial" w:cs="Arial"/>
                          <w:i/>
                          <w:iCs/>
                          <w:szCs w:val="18"/>
                        </w:rPr>
                        <w:t>CTIPS-</w:t>
                      </w:r>
                      <w:r w:rsidR="00595E4B">
                        <w:rPr>
                          <w:rFonts w:ascii="Arial" w:hAnsi="Arial" w:cs="Arial"/>
                          <w:i/>
                          <w:iCs/>
                          <w:szCs w:val="18"/>
                        </w:rPr>
                        <w:t>067</w:t>
                      </w:r>
                      <w:r w:rsidRPr="0044020A">
                        <w:rPr>
                          <w:rFonts w:ascii="Arial" w:hAnsi="Arial" w:cs="Arial"/>
                          <w:i/>
                          <w:iCs/>
                          <w:szCs w:val="18"/>
                        </w:rPr>
                        <w:t xml:space="preserve"> – UTC Project Information</w:t>
                      </w:r>
                    </w:p>
                  </w:txbxContent>
                </v:textbox>
                <w10:anchorlock/>
              </v:shape>
            </w:pict>
          </mc:Fallback>
        </mc:AlternateContent>
      </w:r>
    </w:p>
    <w:tbl>
      <w:tblPr>
        <w:tblpPr w:leftFromText="180" w:rightFromText="180" w:vertAnchor="text" w:horzAnchor="margin" w:tblpX="-90" w:tblpY="192"/>
        <w:tblW w:w="9540" w:type="dxa"/>
        <w:tblLook w:val="0480" w:firstRow="0" w:lastRow="0" w:firstColumn="1" w:lastColumn="0" w:noHBand="0" w:noVBand="1"/>
      </w:tblPr>
      <w:tblGrid>
        <w:gridCol w:w="2970"/>
        <w:gridCol w:w="6570"/>
      </w:tblGrid>
      <w:tr w:rsidR="00500034" w14:paraId="2BB2CA9A" w14:textId="77777777" w:rsidTr="00E72CAA">
        <w:tc>
          <w:tcPr>
            <w:tcW w:w="2970" w:type="dxa"/>
          </w:tcPr>
          <w:p w14:paraId="68EBA8DD" w14:textId="77777777" w:rsidR="00500034" w:rsidRDefault="00500034" w:rsidP="00500034">
            <w:pPr>
              <w:spacing w:after="120"/>
              <w:rPr>
                <w:rFonts w:eastAsia="Calibri" w:cs="Times New Roman"/>
                <w:b/>
                <w:szCs w:val="22"/>
              </w:rPr>
            </w:pPr>
            <w:r>
              <w:rPr>
                <w:rFonts w:eastAsia="Calibri" w:cs="Times New Roman"/>
                <w:b/>
                <w:szCs w:val="22"/>
              </w:rPr>
              <w:t>Recipient</w:t>
            </w:r>
            <w:r w:rsidRPr="00CE0EC0">
              <w:rPr>
                <w:rFonts w:eastAsia="Calibri" w:cs="Times New Roman"/>
                <w:b/>
                <w:szCs w:val="22"/>
              </w:rPr>
              <w:t>/Grant Number:</w:t>
            </w:r>
          </w:p>
        </w:tc>
        <w:tc>
          <w:tcPr>
            <w:tcW w:w="6570" w:type="dxa"/>
          </w:tcPr>
          <w:p w14:paraId="33BA1029" w14:textId="11889219" w:rsidR="00500034" w:rsidRPr="007E7ECF" w:rsidRDefault="00500034" w:rsidP="00500034">
            <w:pPr>
              <w:rPr>
                <w:rFonts w:eastAsia="Calibri" w:cs="Times New Roman"/>
                <w:szCs w:val="22"/>
              </w:rPr>
            </w:pPr>
            <w:r w:rsidRPr="007E7ECF">
              <w:rPr>
                <w:rFonts w:eastAsia="Calibri" w:cs="Times New Roman"/>
                <w:szCs w:val="22"/>
              </w:rPr>
              <w:t>North Dakota State University</w:t>
            </w:r>
            <w:r w:rsidR="000E14E7">
              <w:rPr>
                <w:rFonts w:eastAsia="Calibri" w:cs="Times New Roman"/>
                <w:szCs w:val="22"/>
              </w:rPr>
              <w:t>,</w:t>
            </w:r>
            <w:r w:rsidR="000E14E7">
              <w:t xml:space="preserve"> </w:t>
            </w:r>
            <w:r w:rsidR="000E14E7" w:rsidRPr="000E14E7">
              <w:rPr>
                <w:rFonts w:eastAsia="Calibri" w:cs="Times New Roman"/>
                <w:szCs w:val="22"/>
              </w:rPr>
              <w:t>University of Colorado Denver</w:t>
            </w:r>
          </w:p>
          <w:p w14:paraId="040AC1A0" w14:textId="77777777" w:rsidR="00500034" w:rsidRPr="007E7ECF" w:rsidRDefault="00500034" w:rsidP="00500034">
            <w:pPr>
              <w:spacing w:after="120"/>
              <w:rPr>
                <w:rFonts w:eastAsia="Calibri" w:cs="Times New Roman"/>
                <w:b/>
                <w:szCs w:val="22"/>
              </w:rPr>
            </w:pPr>
            <w:r w:rsidRPr="007E7ECF">
              <w:rPr>
                <w:rFonts w:eastAsia="Calibri" w:cs="Times New Roman"/>
                <w:szCs w:val="22"/>
              </w:rPr>
              <w:t>Grant No. 69A3552348308</w:t>
            </w:r>
          </w:p>
        </w:tc>
      </w:tr>
      <w:tr w:rsidR="00500034" w14:paraId="13E1809C" w14:textId="77777777" w:rsidTr="00E72CAA">
        <w:tc>
          <w:tcPr>
            <w:tcW w:w="2970" w:type="dxa"/>
          </w:tcPr>
          <w:p w14:paraId="0513479F" w14:textId="77777777" w:rsidR="00500034" w:rsidRDefault="00500034" w:rsidP="00500034">
            <w:pPr>
              <w:spacing w:after="120"/>
              <w:rPr>
                <w:rFonts w:eastAsia="Calibri" w:cs="Times New Roman"/>
                <w:b/>
                <w:szCs w:val="22"/>
              </w:rPr>
            </w:pPr>
            <w:r w:rsidRPr="00CE0EC0">
              <w:rPr>
                <w:rFonts w:eastAsia="Calibri" w:cs="Times New Roman"/>
                <w:b/>
                <w:szCs w:val="22"/>
              </w:rPr>
              <w:t>Center Name:</w:t>
            </w:r>
          </w:p>
        </w:tc>
        <w:tc>
          <w:tcPr>
            <w:tcW w:w="6570" w:type="dxa"/>
          </w:tcPr>
          <w:p w14:paraId="4FAF51CA" w14:textId="77777777" w:rsidR="00500034" w:rsidRPr="007E7ECF" w:rsidRDefault="00500034" w:rsidP="00500034">
            <w:pPr>
              <w:spacing w:after="120"/>
              <w:rPr>
                <w:rFonts w:eastAsia="Calibri" w:cs="Times New Roman"/>
                <w:b/>
                <w:szCs w:val="22"/>
              </w:rPr>
            </w:pPr>
            <w:r w:rsidRPr="007E7ECF">
              <w:rPr>
                <w:rFonts w:eastAsia="Calibri" w:cs="Times New Roman"/>
                <w:szCs w:val="22"/>
              </w:rPr>
              <w:t>Center for Transformative Infrastructure Preservation and Sustainability</w:t>
            </w:r>
          </w:p>
        </w:tc>
      </w:tr>
      <w:tr w:rsidR="00500034" w14:paraId="2EE7F149" w14:textId="77777777" w:rsidTr="00E72CAA">
        <w:tc>
          <w:tcPr>
            <w:tcW w:w="2970" w:type="dxa"/>
          </w:tcPr>
          <w:p w14:paraId="4D0FAC6D" w14:textId="77777777" w:rsidR="00500034" w:rsidRPr="00CE0EC0" w:rsidRDefault="00500034" w:rsidP="00500034">
            <w:pPr>
              <w:spacing w:after="120"/>
              <w:rPr>
                <w:rFonts w:eastAsia="Calibri" w:cs="Times New Roman"/>
                <w:b/>
                <w:szCs w:val="22"/>
              </w:rPr>
            </w:pPr>
            <w:r w:rsidRPr="00CE0EC0">
              <w:rPr>
                <w:rFonts w:eastAsia="Calibri" w:cs="Times New Roman"/>
                <w:b/>
                <w:szCs w:val="22"/>
              </w:rPr>
              <w:t>Research Priority:</w:t>
            </w:r>
          </w:p>
        </w:tc>
        <w:tc>
          <w:tcPr>
            <w:tcW w:w="6570" w:type="dxa"/>
          </w:tcPr>
          <w:p w14:paraId="6D569D93" w14:textId="77777777" w:rsidR="00500034" w:rsidRPr="007E7ECF" w:rsidRDefault="00500034" w:rsidP="00500034">
            <w:pPr>
              <w:spacing w:after="120"/>
              <w:rPr>
                <w:rFonts w:eastAsia="Calibri" w:cs="Times New Roman"/>
                <w:szCs w:val="22"/>
              </w:rPr>
            </w:pPr>
            <w:r w:rsidRPr="007E7ECF">
              <w:rPr>
                <w:rFonts w:eastAsia="Calibri" w:cs="Times New Roman"/>
                <w:szCs w:val="22"/>
              </w:rPr>
              <w:t>Preserving the Existing Transportation System</w:t>
            </w:r>
          </w:p>
        </w:tc>
      </w:tr>
      <w:tr w:rsidR="00500034" w14:paraId="0D1B1BC4" w14:textId="77777777" w:rsidTr="00E72CAA">
        <w:tc>
          <w:tcPr>
            <w:tcW w:w="2970" w:type="dxa"/>
          </w:tcPr>
          <w:p w14:paraId="1320521E" w14:textId="77777777" w:rsidR="00500034" w:rsidRPr="00CE0EC0" w:rsidRDefault="00500034" w:rsidP="00500034">
            <w:pPr>
              <w:spacing w:after="120"/>
              <w:rPr>
                <w:rFonts w:eastAsia="Calibri" w:cs="Times New Roman"/>
                <w:b/>
                <w:szCs w:val="22"/>
              </w:rPr>
            </w:pPr>
            <w:r w:rsidRPr="00CE0EC0">
              <w:rPr>
                <w:rFonts w:eastAsia="Calibri" w:cs="Times New Roman"/>
                <w:b/>
                <w:bCs/>
                <w:szCs w:val="22"/>
              </w:rPr>
              <w:t>Principal Investigator(s):</w:t>
            </w:r>
          </w:p>
        </w:tc>
        <w:tc>
          <w:tcPr>
            <w:tcW w:w="6570" w:type="dxa"/>
          </w:tcPr>
          <w:p w14:paraId="6265CC90" w14:textId="77777777" w:rsidR="00A14FAE" w:rsidRDefault="000E14E7" w:rsidP="000E14E7">
            <w:pPr>
              <w:rPr>
                <w:rFonts w:eastAsia="Calibri" w:cs="Times New Roman"/>
                <w:szCs w:val="22"/>
              </w:rPr>
            </w:pPr>
            <w:r w:rsidRPr="000E14E7">
              <w:rPr>
                <w:rFonts w:eastAsia="Calibri" w:cs="Times New Roman"/>
                <w:szCs w:val="22"/>
              </w:rPr>
              <w:t>Wesley Marshall, Ph.D., P.E.</w:t>
            </w:r>
          </w:p>
          <w:p w14:paraId="59FAFF25" w14:textId="28775105" w:rsidR="000E14E7" w:rsidRPr="007E7ECF" w:rsidRDefault="000E14E7" w:rsidP="00500034">
            <w:pPr>
              <w:spacing w:after="120"/>
              <w:rPr>
                <w:rFonts w:eastAsia="Calibri" w:cs="Times New Roman"/>
                <w:szCs w:val="22"/>
              </w:rPr>
            </w:pPr>
            <w:r w:rsidRPr="000E14E7">
              <w:rPr>
                <w:rFonts w:eastAsia="Calibri" w:cs="Times New Roman"/>
                <w:szCs w:val="22"/>
              </w:rPr>
              <w:t>Aditi Misra, Ph.D.</w:t>
            </w:r>
          </w:p>
        </w:tc>
      </w:tr>
      <w:tr w:rsidR="00500034" w14:paraId="5C15C56B" w14:textId="77777777" w:rsidTr="00E72CAA">
        <w:tc>
          <w:tcPr>
            <w:tcW w:w="2970" w:type="dxa"/>
          </w:tcPr>
          <w:p w14:paraId="6404E234" w14:textId="236E2B49" w:rsidR="00500034" w:rsidRPr="00CE0EC0" w:rsidRDefault="00500034" w:rsidP="00500034">
            <w:pPr>
              <w:spacing w:after="120"/>
              <w:rPr>
                <w:rFonts w:eastAsia="Calibri" w:cs="Times New Roman"/>
                <w:b/>
                <w:szCs w:val="22"/>
              </w:rPr>
            </w:pPr>
            <w:r>
              <w:rPr>
                <w:rFonts w:eastAsia="Calibri" w:cs="Times New Roman"/>
                <w:b/>
                <w:szCs w:val="22"/>
              </w:rPr>
              <w:t>Project Partners</w:t>
            </w:r>
            <w:r w:rsidR="008617FB">
              <w:rPr>
                <w:rFonts w:eastAsia="Calibri" w:cs="Times New Roman"/>
                <w:b/>
                <w:szCs w:val="22"/>
              </w:rPr>
              <w:t>:</w:t>
            </w:r>
          </w:p>
        </w:tc>
        <w:tc>
          <w:tcPr>
            <w:tcW w:w="6570" w:type="dxa"/>
          </w:tcPr>
          <w:p w14:paraId="2A66C0FB" w14:textId="5FFAFAB3" w:rsidR="00500034" w:rsidRPr="007E7ECF" w:rsidRDefault="00500034" w:rsidP="00500034">
            <w:pPr>
              <w:spacing w:after="120"/>
              <w:rPr>
                <w:rFonts w:eastAsia="Calibri" w:cs="Times New Roman"/>
                <w:szCs w:val="22"/>
              </w:rPr>
            </w:pPr>
            <w:r w:rsidRPr="007E7ECF">
              <w:rPr>
                <w:rFonts w:eastAsia="Calibri" w:cs="Times New Roman"/>
                <w:szCs w:val="22"/>
              </w:rPr>
              <w:t xml:space="preserve">USDOT, Office of the Assistant Secretary for Research and Technology </w:t>
            </w:r>
            <w:r w:rsidR="0044020A" w:rsidRPr="007E7ECF">
              <w:rPr>
                <w:rFonts w:eastAsia="Calibri" w:cs="Times New Roman"/>
                <w:szCs w:val="22"/>
              </w:rPr>
              <w:t xml:space="preserve">– </w:t>
            </w:r>
            <w:r w:rsidRPr="007E7ECF">
              <w:rPr>
                <w:rFonts w:eastAsia="Calibri" w:cs="Times New Roman"/>
                <w:szCs w:val="22"/>
              </w:rPr>
              <w:t>$</w:t>
            </w:r>
            <w:r w:rsidR="00EA7AFB">
              <w:rPr>
                <w:rFonts w:eastAsia="Calibri" w:cs="Times New Roman"/>
                <w:szCs w:val="22"/>
              </w:rPr>
              <w:t>131,248</w:t>
            </w:r>
          </w:p>
          <w:p w14:paraId="430619BA" w14:textId="7191F27D" w:rsidR="00500034" w:rsidRPr="007E7ECF" w:rsidRDefault="00EA7AFB" w:rsidP="00500034">
            <w:pPr>
              <w:spacing w:after="120"/>
              <w:rPr>
                <w:rFonts w:eastAsia="Calibri" w:cs="Times New Roman"/>
                <w:szCs w:val="22"/>
              </w:rPr>
            </w:pPr>
            <w:r w:rsidRPr="00EA7AFB">
              <w:rPr>
                <w:rFonts w:cs="Times New Roman"/>
                <w:szCs w:val="22"/>
              </w:rPr>
              <w:t>University of Colorado Denver</w:t>
            </w:r>
            <w:r w:rsidRPr="007E7ECF">
              <w:rPr>
                <w:rFonts w:eastAsia="Calibri" w:cs="Times New Roman"/>
                <w:szCs w:val="22"/>
              </w:rPr>
              <w:t xml:space="preserve"> – $</w:t>
            </w:r>
            <w:r>
              <w:rPr>
                <w:rFonts w:eastAsia="Calibri" w:cs="Times New Roman"/>
                <w:szCs w:val="22"/>
              </w:rPr>
              <w:t>131,248</w:t>
            </w:r>
          </w:p>
        </w:tc>
      </w:tr>
      <w:tr w:rsidR="00500034" w14:paraId="2CA1B352" w14:textId="77777777" w:rsidTr="00E72CAA">
        <w:tc>
          <w:tcPr>
            <w:tcW w:w="2970" w:type="dxa"/>
          </w:tcPr>
          <w:p w14:paraId="4A437356" w14:textId="77777777" w:rsidR="00500034" w:rsidRDefault="00500034" w:rsidP="00500034">
            <w:pPr>
              <w:spacing w:after="120"/>
              <w:rPr>
                <w:rFonts w:eastAsia="Calibri" w:cs="Times New Roman"/>
                <w:b/>
                <w:bCs/>
                <w:szCs w:val="22"/>
              </w:rPr>
            </w:pPr>
            <w:r>
              <w:rPr>
                <w:rFonts w:eastAsia="Calibri" w:cs="Times New Roman"/>
                <w:b/>
                <w:szCs w:val="22"/>
              </w:rPr>
              <w:t xml:space="preserve">Total </w:t>
            </w:r>
            <w:r w:rsidRPr="00CE0EC0">
              <w:rPr>
                <w:rFonts w:eastAsia="Calibri" w:cs="Times New Roman"/>
                <w:b/>
                <w:szCs w:val="22"/>
              </w:rPr>
              <w:t xml:space="preserve">Project </w:t>
            </w:r>
            <w:r>
              <w:rPr>
                <w:rFonts w:eastAsia="Calibri" w:cs="Times New Roman"/>
                <w:b/>
                <w:szCs w:val="22"/>
              </w:rPr>
              <w:t>Cost</w:t>
            </w:r>
            <w:r w:rsidRPr="00CE0EC0">
              <w:rPr>
                <w:rFonts w:eastAsia="Calibri" w:cs="Times New Roman"/>
                <w:b/>
                <w:szCs w:val="22"/>
              </w:rPr>
              <w:t>:</w:t>
            </w:r>
          </w:p>
        </w:tc>
        <w:tc>
          <w:tcPr>
            <w:tcW w:w="6570" w:type="dxa"/>
          </w:tcPr>
          <w:p w14:paraId="18AC7F70" w14:textId="46A24FA5" w:rsidR="00500034" w:rsidRPr="007E7ECF" w:rsidRDefault="00500034" w:rsidP="00500034">
            <w:pPr>
              <w:spacing w:after="120"/>
              <w:rPr>
                <w:rFonts w:eastAsia="Calibri" w:cs="Times New Roman"/>
                <w:szCs w:val="22"/>
              </w:rPr>
            </w:pPr>
            <w:r w:rsidRPr="007E7ECF">
              <w:rPr>
                <w:rFonts w:eastAsia="Calibri" w:cs="Times New Roman"/>
                <w:szCs w:val="22"/>
              </w:rPr>
              <w:t>$</w:t>
            </w:r>
            <w:r w:rsidR="00EA7AFB">
              <w:rPr>
                <w:rFonts w:eastAsia="Calibri" w:cs="Times New Roman"/>
                <w:szCs w:val="22"/>
              </w:rPr>
              <w:t>262,496</w:t>
            </w:r>
          </w:p>
        </w:tc>
      </w:tr>
      <w:tr w:rsidR="00500034" w14:paraId="187C6DF8" w14:textId="77777777" w:rsidTr="00E72CAA">
        <w:tc>
          <w:tcPr>
            <w:tcW w:w="2970" w:type="dxa"/>
          </w:tcPr>
          <w:p w14:paraId="52691D24" w14:textId="77777777" w:rsidR="00500034" w:rsidRPr="00CE0EC0" w:rsidRDefault="00500034" w:rsidP="00500034">
            <w:pPr>
              <w:spacing w:after="120"/>
              <w:rPr>
                <w:rFonts w:eastAsia="Calibri" w:cs="Times New Roman"/>
                <w:b/>
                <w:szCs w:val="22"/>
              </w:rPr>
            </w:pPr>
            <w:r w:rsidRPr="00CE0EC0">
              <w:rPr>
                <w:rFonts w:eastAsia="Calibri" w:cs="Times New Roman"/>
                <w:b/>
                <w:szCs w:val="22"/>
              </w:rPr>
              <w:t>Project Start and End Date:</w:t>
            </w:r>
          </w:p>
        </w:tc>
        <w:tc>
          <w:tcPr>
            <w:tcW w:w="6570" w:type="dxa"/>
          </w:tcPr>
          <w:p w14:paraId="258FCB71" w14:textId="0511BA07" w:rsidR="00500034" w:rsidRPr="007E7ECF" w:rsidRDefault="00EA7AFB" w:rsidP="00500034">
            <w:pPr>
              <w:spacing w:after="120"/>
              <w:rPr>
                <w:rFonts w:eastAsia="Calibri" w:cs="Times New Roman"/>
                <w:szCs w:val="22"/>
              </w:rPr>
            </w:pPr>
            <w:r>
              <w:rPr>
                <w:rFonts w:eastAsia="Calibri" w:cs="Times New Roman"/>
                <w:szCs w:val="22"/>
              </w:rPr>
              <w:t>1/10/2026 to 1/9/2028</w:t>
            </w:r>
          </w:p>
        </w:tc>
      </w:tr>
    </w:tbl>
    <w:p w14:paraId="712C50E7" w14:textId="6803A518" w:rsidR="002873B2" w:rsidRPr="00506C16" w:rsidRDefault="002873B2" w:rsidP="00506C16">
      <w:pPr>
        <w:pStyle w:val="Heading2"/>
      </w:pPr>
      <w:r w:rsidRPr="00506C16">
        <w:t>Project Description</w:t>
      </w:r>
    </w:p>
    <w:p w14:paraId="67FBDA90" w14:textId="77777777" w:rsidR="007208A3" w:rsidRPr="007208A3" w:rsidRDefault="007208A3" w:rsidP="007208A3">
      <w:pPr>
        <w:spacing w:after="120"/>
        <w:rPr>
          <w:rFonts w:eastAsia="Calibri"/>
          <w:szCs w:val="18"/>
        </w:rPr>
      </w:pPr>
      <w:r w:rsidRPr="007208A3">
        <w:rPr>
          <w:rFonts w:eastAsia="Calibri"/>
          <w:szCs w:val="18"/>
        </w:rPr>
        <w:t>Arterial roadways serve as critical connectors in urban transportation networks, yet their design often prioritizes vehicular mobility over safety. Despite the widespread application of safety-focused infrastructure interventions on local and collector streets, similar strategies are rarely implemented on arterials due to concerns over congestion, emergency response, and operational efficiency. However, these design choices have proven to result in unsafe conditions.</w:t>
      </w:r>
    </w:p>
    <w:p w14:paraId="43FCBA60" w14:textId="77777777" w:rsidR="007208A3" w:rsidRPr="007208A3" w:rsidRDefault="007208A3" w:rsidP="007208A3">
      <w:pPr>
        <w:spacing w:after="120"/>
        <w:rPr>
          <w:rFonts w:eastAsia="Calibri"/>
          <w:szCs w:val="18"/>
        </w:rPr>
      </w:pPr>
      <w:r w:rsidRPr="007208A3">
        <w:rPr>
          <w:rFonts w:eastAsia="Calibri"/>
          <w:szCs w:val="18"/>
        </w:rPr>
        <w:t>This project investigates how infrastructure design interventions can improve safety on arterial roadways while addressing operational and institutional constraints. The research follows a phased approach. First, it examines the historical, regulatory, and policy factors that have limited the adoption of safety-focused interventions on arterials, including the influence of fire codes and emergency response standards. Second, it assesses the real-world impacts of infrastructure changes on speeds, crashes, and emergency response metrics. Finally, it synthesizes findings to develop actionable recommendations and a decision-making framework for arterial design.</w:t>
      </w:r>
    </w:p>
    <w:p w14:paraId="1CE8545F" w14:textId="5186DC93" w:rsidR="003E096D" w:rsidRPr="00002E38" w:rsidRDefault="007208A3" w:rsidP="007208A3">
      <w:pPr>
        <w:spacing w:after="120"/>
        <w:rPr>
          <w:rFonts w:eastAsia="Calibri"/>
          <w:szCs w:val="18"/>
        </w:rPr>
      </w:pPr>
      <w:r w:rsidRPr="007208A3">
        <w:rPr>
          <w:rFonts w:eastAsia="Calibri"/>
          <w:szCs w:val="18"/>
        </w:rPr>
        <w:t>By providing an evidence-based understanding of how design choices affect safety, mobility, and community outcomes on arterial corridors, this study aims to inform infrastructure design practices.</w:t>
      </w:r>
    </w:p>
    <w:p w14:paraId="30690BF1" w14:textId="2439B7D8" w:rsidR="000B7B9F" w:rsidRPr="005E417C" w:rsidRDefault="002873B2" w:rsidP="005E417C">
      <w:pPr>
        <w:pStyle w:val="Heading2"/>
      </w:pPr>
      <w:r w:rsidRPr="005E417C">
        <w:t>USDOT Priorities</w:t>
      </w:r>
    </w:p>
    <w:p w14:paraId="65F7D13E" w14:textId="22AA4D88" w:rsidR="006A6A33" w:rsidRPr="006A6A33" w:rsidRDefault="00432A16" w:rsidP="006A6A33">
      <w:pPr>
        <w:spacing w:after="240"/>
        <w:rPr>
          <w:rFonts w:eastAsia="Calibri" w:cs="Times New Roman"/>
          <w:szCs w:val="22"/>
        </w:rPr>
      </w:pPr>
      <w:r w:rsidRPr="00432A16">
        <w:rPr>
          <w:rFonts w:eastAsia="Calibri" w:cs="Times New Roman"/>
          <w:szCs w:val="22"/>
        </w:rPr>
        <w:t>Section left blank until USDOT’s new priorities and RD&amp;T strategic goals are available in Spring 2026.</w:t>
      </w:r>
    </w:p>
    <w:p w14:paraId="536C2B10" w14:textId="26DE3A00" w:rsidR="000B7B9F" w:rsidRDefault="002873B2" w:rsidP="000B7B9F">
      <w:pPr>
        <w:pStyle w:val="Heading2"/>
      </w:pPr>
      <w:r w:rsidRPr="00CE0EC0">
        <w:lastRenderedPageBreak/>
        <w:t>Outputs</w:t>
      </w:r>
    </w:p>
    <w:p w14:paraId="3A0D2784" w14:textId="77777777" w:rsidR="00D344EA" w:rsidRPr="00D344EA" w:rsidRDefault="00D344EA" w:rsidP="00101F50">
      <w:pPr>
        <w:keepNext/>
        <w:spacing w:after="120"/>
        <w:rPr>
          <w:rFonts w:eastAsia="Calibri" w:cs="Times New Roman"/>
          <w:szCs w:val="22"/>
        </w:rPr>
      </w:pPr>
      <w:r w:rsidRPr="00D344EA">
        <w:rPr>
          <w:rFonts w:eastAsia="Calibri" w:cs="Times New Roman"/>
          <w:szCs w:val="22"/>
        </w:rPr>
        <w:t>The project will produce several tangible deliverables to facilitate widespread dissemination and application of findings:</w:t>
      </w:r>
    </w:p>
    <w:p w14:paraId="398B28F8" w14:textId="77777777" w:rsidR="00D344EA" w:rsidRDefault="00D344EA" w:rsidP="00101F50">
      <w:pPr>
        <w:pStyle w:val="ListParagraph"/>
        <w:keepLines/>
        <w:numPr>
          <w:ilvl w:val="0"/>
          <w:numId w:val="5"/>
        </w:numPr>
        <w:spacing w:after="0"/>
        <w:rPr>
          <w:rFonts w:eastAsia="Calibri" w:cs="Times New Roman"/>
          <w:szCs w:val="22"/>
        </w:rPr>
      </w:pPr>
      <w:r w:rsidRPr="00D344EA">
        <w:rPr>
          <w:rFonts w:eastAsia="Calibri" w:cs="Times New Roman"/>
          <w:szCs w:val="22"/>
        </w:rPr>
        <w:t>Technical Report: A final report detailing the research process, findings, and recommendations for practitioners.</w:t>
      </w:r>
    </w:p>
    <w:p w14:paraId="07F564FB" w14:textId="77777777" w:rsidR="00D344EA" w:rsidRDefault="00D344EA" w:rsidP="00101F50">
      <w:pPr>
        <w:pStyle w:val="ListParagraph"/>
        <w:keepLines/>
        <w:numPr>
          <w:ilvl w:val="0"/>
          <w:numId w:val="5"/>
        </w:numPr>
        <w:spacing w:after="0"/>
        <w:rPr>
          <w:rFonts w:eastAsia="Calibri" w:cs="Times New Roman"/>
          <w:szCs w:val="22"/>
        </w:rPr>
      </w:pPr>
      <w:r w:rsidRPr="00D344EA">
        <w:rPr>
          <w:rFonts w:eastAsia="Calibri" w:cs="Times New Roman"/>
          <w:szCs w:val="22"/>
        </w:rPr>
        <w:t>Conference Presentations and Journal Articles: Presentations at national conferences such as TRB (Transportation Research Board) as well as submission of journal manuscripts to peer-reviewed transportation journals.</w:t>
      </w:r>
    </w:p>
    <w:p w14:paraId="2CAE25FE" w14:textId="77777777" w:rsidR="00D344EA" w:rsidRDefault="00D344EA" w:rsidP="00101F50">
      <w:pPr>
        <w:pStyle w:val="ListParagraph"/>
        <w:keepLines/>
        <w:numPr>
          <w:ilvl w:val="0"/>
          <w:numId w:val="5"/>
        </w:numPr>
        <w:spacing w:after="0"/>
        <w:rPr>
          <w:rFonts w:eastAsia="Calibri" w:cs="Times New Roman"/>
          <w:szCs w:val="22"/>
        </w:rPr>
      </w:pPr>
      <w:r w:rsidRPr="00D344EA">
        <w:rPr>
          <w:rFonts w:eastAsia="Calibri" w:cs="Times New Roman"/>
          <w:szCs w:val="22"/>
        </w:rPr>
        <w:t>Webinars: Targeted training sessions for transportation agencies and consultants to share best practices.</w:t>
      </w:r>
    </w:p>
    <w:p w14:paraId="21634872" w14:textId="2D68E88D" w:rsidR="003F6023" w:rsidRPr="00D344EA" w:rsidRDefault="00D344EA" w:rsidP="00101F50">
      <w:pPr>
        <w:pStyle w:val="ListParagraph"/>
        <w:keepLines/>
        <w:numPr>
          <w:ilvl w:val="0"/>
          <w:numId w:val="5"/>
        </w:numPr>
        <w:spacing w:after="0"/>
        <w:rPr>
          <w:rFonts w:eastAsia="Calibri" w:cs="Times New Roman"/>
          <w:szCs w:val="22"/>
        </w:rPr>
      </w:pPr>
      <w:r w:rsidRPr="00D344EA">
        <w:rPr>
          <w:rFonts w:eastAsia="Calibri" w:cs="Times New Roman"/>
          <w:szCs w:val="22"/>
        </w:rPr>
        <w:t>Case Study Database: Compilation of examples and outcomes for agency reference.</w:t>
      </w:r>
    </w:p>
    <w:p w14:paraId="22C67A86" w14:textId="77777777" w:rsidR="000B7B9F" w:rsidRDefault="002873B2" w:rsidP="000B7B9F">
      <w:pPr>
        <w:pStyle w:val="Heading2"/>
      </w:pPr>
      <w:r w:rsidRPr="00CE0EC0">
        <w:t>Outcomes/Impacts</w:t>
      </w:r>
    </w:p>
    <w:p w14:paraId="0A3F1BC1" w14:textId="77777777" w:rsidR="00D344EA" w:rsidRPr="00D344EA" w:rsidRDefault="00D344EA" w:rsidP="00101F50">
      <w:pPr>
        <w:keepNext/>
        <w:spacing w:after="120"/>
        <w:rPr>
          <w:rFonts w:cs="Times New Roman"/>
          <w:szCs w:val="22"/>
        </w:rPr>
      </w:pPr>
      <w:r w:rsidRPr="00D344EA">
        <w:rPr>
          <w:rFonts w:cs="Times New Roman"/>
          <w:szCs w:val="22"/>
        </w:rPr>
        <w:t>The expected outcomes and impacts of this research include:</w:t>
      </w:r>
    </w:p>
    <w:p w14:paraId="650E7DB9" w14:textId="77777777" w:rsidR="00D344EA" w:rsidRDefault="00D344EA" w:rsidP="00101F50">
      <w:pPr>
        <w:pStyle w:val="ListParagraph"/>
        <w:keepLines/>
        <w:numPr>
          <w:ilvl w:val="0"/>
          <w:numId w:val="6"/>
        </w:numPr>
        <w:contextualSpacing/>
        <w:rPr>
          <w:rFonts w:cs="Times New Roman"/>
          <w:szCs w:val="22"/>
        </w:rPr>
      </w:pPr>
      <w:r w:rsidRPr="00D344EA">
        <w:rPr>
          <w:rFonts w:cs="Times New Roman"/>
          <w:szCs w:val="22"/>
        </w:rPr>
        <w:t>Improved Design Practices – The research will collect, assess, and collate evidence to inform roadway design guidelines.</w:t>
      </w:r>
    </w:p>
    <w:p w14:paraId="4E714FC9" w14:textId="77777777" w:rsidR="00D344EA" w:rsidRDefault="00D344EA" w:rsidP="00101F50">
      <w:pPr>
        <w:pStyle w:val="ListParagraph"/>
        <w:keepLines/>
        <w:numPr>
          <w:ilvl w:val="0"/>
          <w:numId w:val="6"/>
        </w:numPr>
        <w:contextualSpacing/>
        <w:rPr>
          <w:rFonts w:cs="Times New Roman"/>
          <w:szCs w:val="22"/>
        </w:rPr>
      </w:pPr>
      <w:r w:rsidRPr="00D344EA">
        <w:rPr>
          <w:rFonts w:cs="Times New Roman"/>
          <w:szCs w:val="22"/>
        </w:rPr>
        <w:t>Enhanced Safety – The resulting research will identify evidence-based, data-driven, safety-focused interventions that can be used on arterials, where our most dangerous crashes tend to take place, and promote better safety outcomes.</w:t>
      </w:r>
    </w:p>
    <w:p w14:paraId="5E511BDB" w14:textId="2E715FB4" w:rsidR="00F137CC" w:rsidRPr="00D344EA" w:rsidRDefault="00D344EA" w:rsidP="00101F50">
      <w:pPr>
        <w:pStyle w:val="ListParagraph"/>
        <w:keepLines/>
        <w:numPr>
          <w:ilvl w:val="0"/>
          <w:numId w:val="6"/>
        </w:numPr>
        <w:contextualSpacing/>
        <w:rPr>
          <w:rFonts w:cs="Times New Roman"/>
          <w:szCs w:val="22"/>
        </w:rPr>
      </w:pPr>
      <w:r w:rsidRPr="00D344EA">
        <w:rPr>
          <w:rFonts w:cs="Times New Roman"/>
          <w:szCs w:val="22"/>
        </w:rPr>
        <w:t>Policy Advancements – Impacts could also include changes to municipal standards, fire codes, and agency policies. Integrating a more precise design vehicle choice into asset management strategies.</w:t>
      </w:r>
    </w:p>
    <w:p w14:paraId="2E4A52BC" w14:textId="0DBF2BA7" w:rsidR="000B7B9F" w:rsidRDefault="002873B2" w:rsidP="002B213B">
      <w:pPr>
        <w:pStyle w:val="Heading2"/>
      </w:pPr>
      <w:r>
        <w:t>Final Report</w:t>
      </w:r>
    </w:p>
    <w:p w14:paraId="79FA5744" w14:textId="2B5997DF" w:rsidR="005024ED" w:rsidRPr="00765AEC" w:rsidRDefault="005024ED" w:rsidP="00A524E8">
      <w:pPr>
        <w:spacing w:after="240"/>
        <w:rPr>
          <w:szCs w:val="18"/>
        </w:rPr>
      </w:pPr>
      <w:r w:rsidRPr="00765AEC">
        <w:rPr>
          <w:szCs w:val="18"/>
        </w:rPr>
        <w:t>Upon completion, the final report link will be added</w:t>
      </w:r>
      <w:r w:rsidR="0092258D" w:rsidRPr="00765AEC">
        <w:rPr>
          <w:szCs w:val="18"/>
        </w:rPr>
        <w:t xml:space="preserve"> </w:t>
      </w:r>
      <w:bookmarkStart w:id="0" w:name="_Hlk162953857"/>
      <w:r w:rsidR="001C3DEB" w:rsidRPr="00765AEC">
        <w:rPr>
          <w:szCs w:val="18"/>
        </w:rPr>
        <w:t xml:space="preserve">to the </w:t>
      </w:r>
      <w:hyperlink r:id="rId9" w:history="1">
        <w:r w:rsidR="001C3DEB" w:rsidRPr="00765AEC">
          <w:rPr>
            <w:rStyle w:val="Hyperlink"/>
            <w:szCs w:val="18"/>
          </w:rPr>
          <w:t>project page on the CTIPS website</w:t>
        </w:r>
      </w:hyperlink>
      <w:r w:rsidRPr="00765AEC">
        <w:rPr>
          <w:szCs w:val="18"/>
        </w:rPr>
        <w:t>.</w:t>
      </w:r>
      <w:bookmarkEnd w:id="0"/>
    </w:p>
    <w:sectPr w:rsidR="005024ED" w:rsidRPr="00765AEC" w:rsidSect="00ED46A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6E99A" w14:textId="77777777" w:rsidR="003937F0" w:rsidRDefault="003937F0" w:rsidP="00F137CC">
      <w:r>
        <w:separator/>
      </w:r>
    </w:p>
  </w:endnote>
  <w:endnote w:type="continuationSeparator" w:id="0">
    <w:p w14:paraId="0F6173DB" w14:textId="77777777" w:rsidR="003937F0" w:rsidRDefault="003937F0" w:rsidP="00F13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256101"/>
      <w:docPartObj>
        <w:docPartGallery w:val="Page Numbers (Bottom of Page)"/>
        <w:docPartUnique/>
      </w:docPartObj>
    </w:sdtPr>
    <w:sdtEndPr>
      <w:rPr>
        <w:rFonts w:cs="Times New Roman"/>
        <w:noProof/>
      </w:rPr>
    </w:sdtEndPr>
    <w:sdtContent>
      <w:p w14:paraId="63FD3D58" w14:textId="78E7DAE3" w:rsidR="00ED59C9" w:rsidRPr="004D609B" w:rsidRDefault="00ED59C9" w:rsidP="004D609B">
        <w:pPr>
          <w:pStyle w:val="Footer"/>
          <w:jc w:val="center"/>
          <w:rPr>
            <w:rFonts w:cs="Times New Roman"/>
          </w:rPr>
        </w:pPr>
        <w:r w:rsidRPr="00ED59C9">
          <w:rPr>
            <w:rFonts w:cs="Times New Roman"/>
          </w:rPr>
          <w:fldChar w:fldCharType="begin"/>
        </w:r>
        <w:r w:rsidRPr="00ED59C9">
          <w:rPr>
            <w:rFonts w:cs="Times New Roman"/>
          </w:rPr>
          <w:instrText xml:space="preserve"> PAGE   \* MERGEFORMAT </w:instrText>
        </w:r>
        <w:r w:rsidRPr="00ED59C9">
          <w:rPr>
            <w:rFonts w:cs="Times New Roman"/>
          </w:rPr>
          <w:fldChar w:fldCharType="separate"/>
        </w:r>
        <w:r w:rsidRPr="00ED59C9">
          <w:rPr>
            <w:rFonts w:cs="Times New Roman"/>
            <w:noProof/>
          </w:rPr>
          <w:t>2</w:t>
        </w:r>
        <w:r w:rsidRPr="00ED59C9">
          <w:rPr>
            <w:rFonts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592F6" w14:textId="77777777" w:rsidR="003937F0" w:rsidRDefault="003937F0" w:rsidP="00F137CC">
      <w:r>
        <w:separator/>
      </w:r>
    </w:p>
  </w:footnote>
  <w:footnote w:type="continuationSeparator" w:id="0">
    <w:p w14:paraId="2211B45D" w14:textId="77777777" w:rsidR="003937F0" w:rsidRDefault="003937F0" w:rsidP="00F13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3F2D"/>
    <w:multiLevelType w:val="hybridMultilevel"/>
    <w:tmpl w:val="1362E0B4"/>
    <w:lvl w:ilvl="0" w:tplc="30BCFB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DB78D7"/>
    <w:multiLevelType w:val="hybridMultilevel"/>
    <w:tmpl w:val="49CA1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37554"/>
    <w:multiLevelType w:val="hybridMultilevel"/>
    <w:tmpl w:val="E968F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501892"/>
    <w:multiLevelType w:val="hybridMultilevel"/>
    <w:tmpl w:val="BD1C7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D34"/>
    <w:multiLevelType w:val="hybridMultilevel"/>
    <w:tmpl w:val="AB0ECF22"/>
    <w:lvl w:ilvl="0" w:tplc="47224C4C">
      <w:start w:val="1"/>
      <w:numFmt w:val="lowerLetter"/>
      <w:lvlText w:val="%1."/>
      <w:lvlJc w:val="left"/>
      <w:pPr>
        <w:ind w:left="720" w:hanging="360"/>
      </w:pPr>
      <w:rPr>
        <w:rFonts w:hint="default"/>
        <w:b/>
      </w:rPr>
    </w:lvl>
    <w:lvl w:ilvl="1" w:tplc="0AB40CE8">
      <w:start w:val="1"/>
      <w:numFmt w:val="decimal"/>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B67CE1"/>
    <w:multiLevelType w:val="hybridMultilevel"/>
    <w:tmpl w:val="1018D7A0"/>
    <w:lvl w:ilvl="0" w:tplc="B7EC65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3B2"/>
    <w:rsid w:val="00002E38"/>
    <w:rsid w:val="0000755C"/>
    <w:rsid w:val="00017FCD"/>
    <w:rsid w:val="0002171F"/>
    <w:rsid w:val="000243FC"/>
    <w:rsid w:val="00046315"/>
    <w:rsid w:val="00055A5C"/>
    <w:rsid w:val="0006712E"/>
    <w:rsid w:val="000B18F7"/>
    <w:rsid w:val="000B32FD"/>
    <w:rsid w:val="000B7B9F"/>
    <w:rsid w:val="000C3725"/>
    <w:rsid w:val="000D1CE4"/>
    <w:rsid w:val="000E14E7"/>
    <w:rsid w:val="001008DF"/>
    <w:rsid w:val="00101F50"/>
    <w:rsid w:val="0011208D"/>
    <w:rsid w:val="00113673"/>
    <w:rsid w:val="00121C69"/>
    <w:rsid w:val="00137CB9"/>
    <w:rsid w:val="0014351A"/>
    <w:rsid w:val="001676CA"/>
    <w:rsid w:val="00182DF3"/>
    <w:rsid w:val="001A75C0"/>
    <w:rsid w:val="001C3DEB"/>
    <w:rsid w:val="001D0DCA"/>
    <w:rsid w:val="002237E8"/>
    <w:rsid w:val="00282588"/>
    <w:rsid w:val="002873B2"/>
    <w:rsid w:val="002B213B"/>
    <w:rsid w:val="002B7C56"/>
    <w:rsid w:val="002C0348"/>
    <w:rsid w:val="002E4E7E"/>
    <w:rsid w:val="002F17C1"/>
    <w:rsid w:val="003138FF"/>
    <w:rsid w:val="00320FE9"/>
    <w:rsid w:val="00334C49"/>
    <w:rsid w:val="00362E4F"/>
    <w:rsid w:val="003630AC"/>
    <w:rsid w:val="003937F0"/>
    <w:rsid w:val="003A2627"/>
    <w:rsid w:val="003A7937"/>
    <w:rsid w:val="003B2609"/>
    <w:rsid w:val="003E096D"/>
    <w:rsid w:val="003F1BDF"/>
    <w:rsid w:val="003F446C"/>
    <w:rsid w:val="003F6023"/>
    <w:rsid w:val="0041019B"/>
    <w:rsid w:val="00422287"/>
    <w:rsid w:val="00432A16"/>
    <w:rsid w:val="004401F7"/>
    <w:rsid w:val="0044020A"/>
    <w:rsid w:val="0048568D"/>
    <w:rsid w:val="00493209"/>
    <w:rsid w:val="00496A82"/>
    <w:rsid w:val="004A34F1"/>
    <w:rsid w:val="004D609B"/>
    <w:rsid w:val="00500034"/>
    <w:rsid w:val="005024ED"/>
    <w:rsid w:val="005032DE"/>
    <w:rsid w:val="00506C16"/>
    <w:rsid w:val="00525DF9"/>
    <w:rsid w:val="00554A3C"/>
    <w:rsid w:val="00593BBA"/>
    <w:rsid w:val="00595E4B"/>
    <w:rsid w:val="005A0E78"/>
    <w:rsid w:val="005A3C26"/>
    <w:rsid w:val="005A77FF"/>
    <w:rsid w:val="005D7163"/>
    <w:rsid w:val="005E1390"/>
    <w:rsid w:val="005E417C"/>
    <w:rsid w:val="0065700E"/>
    <w:rsid w:val="006766B9"/>
    <w:rsid w:val="00681FC3"/>
    <w:rsid w:val="006A6A33"/>
    <w:rsid w:val="006B18A0"/>
    <w:rsid w:val="006B1E1C"/>
    <w:rsid w:val="006B3976"/>
    <w:rsid w:val="006C3F80"/>
    <w:rsid w:val="006F06F3"/>
    <w:rsid w:val="006F440E"/>
    <w:rsid w:val="007208A3"/>
    <w:rsid w:val="007242E6"/>
    <w:rsid w:val="007259AB"/>
    <w:rsid w:val="007321E5"/>
    <w:rsid w:val="007420B7"/>
    <w:rsid w:val="00746DF1"/>
    <w:rsid w:val="00762237"/>
    <w:rsid w:val="00765AEC"/>
    <w:rsid w:val="00787FFD"/>
    <w:rsid w:val="00791A16"/>
    <w:rsid w:val="007A7483"/>
    <w:rsid w:val="007A7585"/>
    <w:rsid w:val="007E7ECF"/>
    <w:rsid w:val="00802CBD"/>
    <w:rsid w:val="008051AC"/>
    <w:rsid w:val="0081651A"/>
    <w:rsid w:val="00836B6E"/>
    <w:rsid w:val="0084565C"/>
    <w:rsid w:val="008617FB"/>
    <w:rsid w:val="00865BC9"/>
    <w:rsid w:val="00887CBB"/>
    <w:rsid w:val="008E29E7"/>
    <w:rsid w:val="008E7BAF"/>
    <w:rsid w:val="0092258D"/>
    <w:rsid w:val="00930054"/>
    <w:rsid w:val="00935B67"/>
    <w:rsid w:val="009B1B4C"/>
    <w:rsid w:val="00A05F85"/>
    <w:rsid w:val="00A14FAE"/>
    <w:rsid w:val="00A16399"/>
    <w:rsid w:val="00A2196F"/>
    <w:rsid w:val="00A245A7"/>
    <w:rsid w:val="00A524E8"/>
    <w:rsid w:val="00A70EF2"/>
    <w:rsid w:val="00A71EC1"/>
    <w:rsid w:val="00A744E2"/>
    <w:rsid w:val="00AE2C92"/>
    <w:rsid w:val="00AE7A22"/>
    <w:rsid w:val="00AF64D1"/>
    <w:rsid w:val="00B529B6"/>
    <w:rsid w:val="00B727E9"/>
    <w:rsid w:val="00B7524E"/>
    <w:rsid w:val="00B769EB"/>
    <w:rsid w:val="00B821F7"/>
    <w:rsid w:val="00B85D86"/>
    <w:rsid w:val="00B90F4C"/>
    <w:rsid w:val="00BC129E"/>
    <w:rsid w:val="00BE7F9E"/>
    <w:rsid w:val="00C36931"/>
    <w:rsid w:val="00C450A6"/>
    <w:rsid w:val="00C4529B"/>
    <w:rsid w:val="00C465F6"/>
    <w:rsid w:val="00C54039"/>
    <w:rsid w:val="00C86335"/>
    <w:rsid w:val="00CA10E0"/>
    <w:rsid w:val="00CC131A"/>
    <w:rsid w:val="00CC5054"/>
    <w:rsid w:val="00CC5150"/>
    <w:rsid w:val="00D05E78"/>
    <w:rsid w:val="00D263EF"/>
    <w:rsid w:val="00D26691"/>
    <w:rsid w:val="00D342FF"/>
    <w:rsid w:val="00D344EA"/>
    <w:rsid w:val="00D45B8D"/>
    <w:rsid w:val="00D64DFA"/>
    <w:rsid w:val="00D72A17"/>
    <w:rsid w:val="00DB11C3"/>
    <w:rsid w:val="00DD22D0"/>
    <w:rsid w:val="00DF4BDC"/>
    <w:rsid w:val="00E0039A"/>
    <w:rsid w:val="00E72CAA"/>
    <w:rsid w:val="00E72DE1"/>
    <w:rsid w:val="00E837E6"/>
    <w:rsid w:val="00E84FE0"/>
    <w:rsid w:val="00E904B9"/>
    <w:rsid w:val="00E96142"/>
    <w:rsid w:val="00EA785C"/>
    <w:rsid w:val="00EA7AFB"/>
    <w:rsid w:val="00EC6A38"/>
    <w:rsid w:val="00ED20AD"/>
    <w:rsid w:val="00ED46AF"/>
    <w:rsid w:val="00ED59C9"/>
    <w:rsid w:val="00EE364A"/>
    <w:rsid w:val="00F137CC"/>
    <w:rsid w:val="00F72971"/>
    <w:rsid w:val="00F72B6B"/>
    <w:rsid w:val="00F8549F"/>
    <w:rsid w:val="00F9202E"/>
    <w:rsid w:val="00F923EE"/>
    <w:rsid w:val="00FB2471"/>
    <w:rsid w:val="00FC35C9"/>
    <w:rsid w:val="00FD0582"/>
    <w:rsid w:val="00FE6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89B37"/>
  <w15:chartTrackingRefBased/>
  <w15:docId w15:val="{ECA1B427-BBB0-4F0C-8FD6-3F34D31F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A16"/>
    <w:pPr>
      <w:spacing w:after="0" w:line="240" w:lineRule="auto"/>
    </w:pPr>
    <w:rPr>
      <w:rFonts w:ascii="Times New Roman" w:eastAsia="Times New Roman" w:hAnsi="Times New Roman" w:cs="Calibri"/>
      <w:szCs w:val="20"/>
    </w:rPr>
  </w:style>
  <w:style w:type="paragraph" w:styleId="Heading1">
    <w:name w:val="heading 1"/>
    <w:basedOn w:val="Normal"/>
    <w:next w:val="Normal"/>
    <w:link w:val="Heading1Char"/>
    <w:uiPriority w:val="9"/>
    <w:qFormat/>
    <w:rsid w:val="001008DF"/>
    <w:pPr>
      <w:keepNext/>
      <w:spacing w:before="60" w:after="60"/>
      <w:outlineLvl w:val="0"/>
    </w:pPr>
    <w:rPr>
      <w:rFonts w:ascii="Arial" w:hAnsi="Arial" w:cs="Arial"/>
      <w:b/>
      <w:sz w:val="32"/>
      <w:szCs w:val="28"/>
    </w:rPr>
  </w:style>
  <w:style w:type="paragraph" w:styleId="Heading2">
    <w:name w:val="heading 2"/>
    <w:basedOn w:val="Normal"/>
    <w:next w:val="Normal"/>
    <w:link w:val="Heading2Char"/>
    <w:unhideWhenUsed/>
    <w:qFormat/>
    <w:rsid w:val="005E417C"/>
    <w:pPr>
      <w:keepNext/>
      <w:spacing w:before="240" w:after="60"/>
      <w:outlineLvl w:val="1"/>
    </w:pPr>
    <w:rPr>
      <w:rFonts w:ascii="Arial" w:eastAsia="Calibri" w:hAnsi="Arial" w:cs="Times New Roman"/>
      <w:b/>
      <w:b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63EF"/>
    <w:pPr>
      <w:spacing w:after="120"/>
      <w:ind w:left="720"/>
    </w:pPr>
  </w:style>
  <w:style w:type="character" w:customStyle="1" w:styleId="ListParagraphChar">
    <w:name w:val="List Paragraph Char"/>
    <w:basedOn w:val="DefaultParagraphFont"/>
    <w:link w:val="ListParagraph"/>
    <w:uiPriority w:val="34"/>
    <w:rsid w:val="00D263EF"/>
  </w:style>
  <w:style w:type="character" w:customStyle="1" w:styleId="Heading2Char">
    <w:name w:val="Heading 2 Char"/>
    <w:basedOn w:val="DefaultParagraphFont"/>
    <w:link w:val="Heading2"/>
    <w:rsid w:val="005E417C"/>
    <w:rPr>
      <w:rFonts w:ascii="Arial" w:eastAsia="Calibri" w:hAnsi="Arial" w:cs="Times New Roman"/>
      <w:b/>
      <w:bCs/>
      <w:sz w:val="26"/>
    </w:rPr>
  </w:style>
  <w:style w:type="paragraph" w:styleId="Header">
    <w:name w:val="header"/>
    <w:basedOn w:val="Normal"/>
    <w:link w:val="HeaderChar"/>
    <w:uiPriority w:val="99"/>
    <w:unhideWhenUsed/>
    <w:rsid w:val="00F137CC"/>
    <w:pPr>
      <w:tabs>
        <w:tab w:val="center" w:pos="4680"/>
        <w:tab w:val="right" w:pos="9360"/>
      </w:tabs>
    </w:pPr>
  </w:style>
  <w:style w:type="character" w:customStyle="1" w:styleId="HeaderChar">
    <w:name w:val="Header Char"/>
    <w:basedOn w:val="DefaultParagraphFont"/>
    <w:link w:val="Header"/>
    <w:uiPriority w:val="99"/>
    <w:rsid w:val="00F137CC"/>
    <w:rPr>
      <w:rFonts w:ascii="Calibri" w:eastAsia="Times New Roman" w:hAnsi="Calibri" w:cs="Calibri"/>
      <w:sz w:val="24"/>
      <w:szCs w:val="20"/>
    </w:rPr>
  </w:style>
  <w:style w:type="paragraph" w:styleId="Footer">
    <w:name w:val="footer"/>
    <w:basedOn w:val="Normal"/>
    <w:link w:val="FooterChar"/>
    <w:uiPriority w:val="99"/>
    <w:unhideWhenUsed/>
    <w:rsid w:val="00F137CC"/>
    <w:pPr>
      <w:tabs>
        <w:tab w:val="center" w:pos="4680"/>
        <w:tab w:val="right" w:pos="9360"/>
      </w:tabs>
    </w:pPr>
  </w:style>
  <w:style w:type="character" w:customStyle="1" w:styleId="FooterChar">
    <w:name w:val="Footer Char"/>
    <w:basedOn w:val="DefaultParagraphFont"/>
    <w:link w:val="Footer"/>
    <w:uiPriority w:val="99"/>
    <w:rsid w:val="00F137CC"/>
    <w:rPr>
      <w:rFonts w:ascii="Calibri" w:eastAsia="Times New Roman" w:hAnsi="Calibri" w:cs="Calibri"/>
      <w:sz w:val="24"/>
      <w:szCs w:val="20"/>
    </w:rPr>
  </w:style>
  <w:style w:type="table" w:styleId="TableGrid">
    <w:name w:val="Table Grid"/>
    <w:basedOn w:val="TableNormal"/>
    <w:uiPriority w:val="39"/>
    <w:rsid w:val="00B90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3DEB"/>
    <w:rPr>
      <w:color w:val="0000FF"/>
      <w:u w:val="single"/>
    </w:rPr>
  </w:style>
  <w:style w:type="character" w:styleId="UnresolvedMention">
    <w:name w:val="Unresolved Mention"/>
    <w:basedOn w:val="DefaultParagraphFont"/>
    <w:uiPriority w:val="99"/>
    <w:semiHidden/>
    <w:unhideWhenUsed/>
    <w:rsid w:val="001C3DEB"/>
    <w:rPr>
      <w:color w:val="605E5C"/>
      <w:shd w:val="clear" w:color="auto" w:fill="E1DFDD"/>
    </w:rPr>
  </w:style>
  <w:style w:type="character" w:customStyle="1" w:styleId="Heading1Char">
    <w:name w:val="Heading 1 Char"/>
    <w:basedOn w:val="DefaultParagraphFont"/>
    <w:link w:val="Heading1"/>
    <w:uiPriority w:val="9"/>
    <w:rsid w:val="001008DF"/>
    <w:rPr>
      <w:rFonts w:ascii="Arial" w:eastAsia="Times New Roman" w:hAnsi="Arial" w:cs="Arial"/>
      <w:b/>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25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tips.org/projects/details.php?id=6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CB6D5-C55A-4521-BD0B-9EEB4BF1E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1116</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UTC Project Information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UTC Project Information | Assessing the Impacts of Safety-Focused Design Interventions on Arterial Roadways</dc:title>
  <dc:subject/>
  <dc:creator/>
  <cp:keywords/>
  <dc:description/>
  <cp:lastModifiedBy>Nichols, Patrick</cp:lastModifiedBy>
  <cp:revision>154</cp:revision>
  <cp:lastPrinted>2024-04-30T12:34:00Z</cp:lastPrinted>
  <dcterms:created xsi:type="dcterms:W3CDTF">2024-04-01T12:43:00Z</dcterms:created>
  <dcterms:modified xsi:type="dcterms:W3CDTF">2026-03-03T23:57:00Z</dcterms:modified>
</cp:coreProperties>
</file>